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92BBE" w14:textId="77777777" w:rsidR="00614AC4" w:rsidRPr="00AE12A7" w:rsidRDefault="00B34B9E" w:rsidP="00413EC6">
      <w:pPr>
        <w:rPr>
          <w:rFonts w:ascii="Arial" w:hAnsi="Arial" w:cs="Arial"/>
          <w:lang w:eastAsia="es-MX"/>
        </w:rPr>
      </w:pPr>
      <w:r w:rsidRPr="00AE12A7">
        <w:rPr>
          <w:rFonts w:ascii="Arial" w:hAnsi="Arial" w:cs="Arial"/>
          <w:lang w:eastAsia="es-MX"/>
        </w:rPr>
        <w:t xml:space="preserve">Bogotá D.C., </w:t>
      </w:r>
      <w:r w:rsidR="00AF5F0C" w:rsidRPr="00AE12A7">
        <w:rPr>
          <w:rFonts w:ascii="Arial" w:hAnsi="Arial" w:cs="Arial"/>
          <w:lang w:eastAsia="es-MX"/>
        </w:rPr>
        <w:t xml:space="preserve">05 de mayo de 2020 </w:t>
      </w:r>
    </w:p>
    <w:p w14:paraId="486FD2B1" w14:textId="77777777" w:rsidR="00B34B9E" w:rsidRPr="00AE12A7" w:rsidRDefault="00B34B9E" w:rsidP="00413EC6">
      <w:pPr>
        <w:rPr>
          <w:rFonts w:ascii="Arial" w:hAnsi="Arial" w:cs="Arial"/>
          <w:lang w:eastAsia="es-MX"/>
        </w:rPr>
      </w:pPr>
    </w:p>
    <w:p w14:paraId="04F2B2C3" w14:textId="77777777" w:rsidR="00B34B9E" w:rsidRPr="00AE12A7" w:rsidRDefault="00AF5F0C" w:rsidP="00413EC6">
      <w:pPr>
        <w:rPr>
          <w:rFonts w:ascii="Arial" w:hAnsi="Arial" w:cs="Arial"/>
          <w:lang w:eastAsia="es-MX"/>
        </w:rPr>
      </w:pPr>
      <w:r w:rsidRPr="00AE12A7">
        <w:rPr>
          <w:rFonts w:ascii="Arial" w:hAnsi="Arial" w:cs="Arial"/>
          <w:lang w:eastAsia="es-MX"/>
        </w:rPr>
        <w:t xml:space="preserve">Brigadier General </w:t>
      </w:r>
    </w:p>
    <w:p w14:paraId="6DC089E0" w14:textId="77777777" w:rsidR="00AF5F0C" w:rsidRPr="00AE12A7" w:rsidRDefault="00AF5F0C" w:rsidP="00413EC6">
      <w:pPr>
        <w:rPr>
          <w:rFonts w:ascii="Arial" w:hAnsi="Arial" w:cs="Arial"/>
          <w:b/>
          <w:lang w:eastAsia="es-MX"/>
        </w:rPr>
      </w:pPr>
      <w:r w:rsidRPr="00AE12A7">
        <w:rPr>
          <w:rFonts w:ascii="Arial" w:hAnsi="Arial" w:cs="Arial"/>
          <w:b/>
          <w:lang w:eastAsia="es-MX"/>
        </w:rPr>
        <w:t xml:space="preserve">NORBERTO MUJICA JAIME </w:t>
      </w:r>
    </w:p>
    <w:p w14:paraId="0E764892" w14:textId="77777777" w:rsidR="00AF5F0C" w:rsidRPr="00AE12A7" w:rsidRDefault="00AF5F0C" w:rsidP="00413EC6">
      <w:pPr>
        <w:rPr>
          <w:rFonts w:ascii="Arial" w:hAnsi="Arial" w:cs="Arial"/>
          <w:lang w:eastAsia="es-MX"/>
        </w:rPr>
      </w:pPr>
      <w:r w:rsidRPr="00AE12A7">
        <w:rPr>
          <w:rFonts w:ascii="Arial" w:hAnsi="Arial" w:cs="Arial"/>
          <w:lang w:eastAsia="es-MX"/>
        </w:rPr>
        <w:t>Director General INPEC</w:t>
      </w:r>
    </w:p>
    <w:p w14:paraId="6ACAB59E" w14:textId="77777777" w:rsidR="00B34B9E" w:rsidRPr="00AE12A7" w:rsidRDefault="00B34B9E" w:rsidP="00413EC6">
      <w:pPr>
        <w:rPr>
          <w:rFonts w:ascii="Arial" w:hAnsi="Arial" w:cs="Arial"/>
          <w:lang w:eastAsia="es-MX"/>
        </w:rPr>
      </w:pPr>
    </w:p>
    <w:p w14:paraId="7DA67185" w14:textId="35ED519E" w:rsidR="00B34B9E" w:rsidRPr="00AE12A7" w:rsidRDefault="00AE12A7" w:rsidP="00413EC6">
      <w:pPr>
        <w:jc w:val="both"/>
        <w:rPr>
          <w:rFonts w:ascii="Arial" w:hAnsi="Arial" w:cs="Arial"/>
          <w:b/>
          <w:bCs/>
          <w:lang w:eastAsia="es-MX"/>
        </w:rPr>
      </w:pPr>
      <w:r w:rsidRPr="00AE12A7">
        <w:rPr>
          <w:rFonts w:ascii="Arial" w:hAnsi="Arial" w:cs="Arial"/>
          <w:b/>
          <w:bCs/>
          <w:lang w:eastAsia="es-MX"/>
        </w:rPr>
        <w:t xml:space="preserve">ASUNTO: SOLICITUD DE INFORMACIÓN SOBRE RESPONSABILIDADES POR PERJUICIO A LA SALUD PÚBLICA, POR TRASLADO DE PPL CONTAGIADOS CON COVID-19  </w:t>
      </w:r>
    </w:p>
    <w:p w14:paraId="755DF6B8" w14:textId="77777777" w:rsidR="00AF5F0C" w:rsidRPr="00AE12A7" w:rsidRDefault="00AF5F0C" w:rsidP="00413EC6">
      <w:pPr>
        <w:rPr>
          <w:rFonts w:ascii="Arial" w:hAnsi="Arial" w:cs="Arial"/>
          <w:lang w:eastAsia="es-MX"/>
        </w:rPr>
      </w:pPr>
    </w:p>
    <w:p w14:paraId="5C50534F" w14:textId="77777777" w:rsidR="00AE12A7" w:rsidRDefault="00AE12A7" w:rsidP="00413EC6">
      <w:pPr>
        <w:rPr>
          <w:rFonts w:ascii="Arial" w:hAnsi="Arial" w:cs="Arial"/>
          <w:lang w:eastAsia="es-MX"/>
        </w:rPr>
      </w:pPr>
    </w:p>
    <w:p w14:paraId="30CEF757" w14:textId="6C60E579" w:rsidR="004F1A62" w:rsidRPr="00AE12A7" w:rsidRDefault="004F1A62" w:rsidP="00413EC6">
      <w:pPr>
        <w:rPr>
          <w:rFonts w:ascii="Arial" w:hAnsi="Arial" w:cs="Arial"/>
          <w:lang w:eastAsia="es-MX"/>
        </w:rPr>
      </w:pPr>
      <w:r w:rsidRPr="00AE12A7">
        <w:rPr>
          <w:rFonts w:ascii="Arial" w:hAnsi="Arial" w:cs="Arial"/>
          <w:lang w:eastAsia="es-MX"/>
        </w:rPr>
        <w:t>Cordial saludo,</w:t>
      </w:r>
    </w:p>
    <w:p w14:paraId="0EF3A03F" w14:textId="77777777" w:rsidR="004F1A62" w:rsidRPr="00AE12A7" w:rsidRDefault="004F1A62" w:rsidP="00413EC6">
      <w:pPr>
        <w:rPr>
          <w:rFonts w:ascii="Arial" w:hAnsi="Arial" w:cs="Arial"/>
          <w:lang w:eastAsia="es-MX"/>
        </w:rPr>
      </w:pPr>
    </w:p>
    <w:p w14:paraId="335749FC" w14:textId="4A070B68" w:rsidR="00EA2384" w:rsidRPr="00AE12A7" w:rsidRDefault="004F1A62" w:rsidP="00413EC6">
      <w:pPr>
        <w:jc w:val="both"/>
        <w:rPr>
          <w:rFonts w:ascii="Arial" w:hAnsi="Arial" w:cs="Arial"/>
          <w:lang w:eastAsia="es-MX"/>
        </w:rPr>
      </w:pPr>
      <w:r w:rsidRPr="00AE12A7">
        <w:rPr>
          <w:rFonts w:ascii="Arial" w:hAnsi="Arial" w:cs="Arial"/>
          <w:lang w:eastAsia="es-MX"/>
        </w:rPr>
        <w:t>De manera atenta nos dirigimos a usted con el fin de solicitar que nos informe que acciones, investigaciones, y</w:t>
      </w:r>
      <w:r w:rsidR="004A62D8" w:rsidRPr="00AE12A7">
        <w:rPr>
          <w:rFonts w:ascii="Arial" w:hAnsi="Arial" w:cs="Arial"/>
          <w:lang w:eastAsia="es-MX"/>
        </w:rPr>
        <w:t>/o determinaciones</w:t>
      </w:r>
      <w:r w:rsidR="00EA2384" w:rsidRPr="00AE12A7">
        <w:rPr>
          <w:rFonts w:ascii="Arial" w:hAnsi="Arial" w:cs="Arial"/>
          <w:lang w:eastAsia="es-MX"/>
        </w:rPr>
        <w:t xml:space="preserve"> </w:t>
      </w:r>
      <w:r w:rsidRPr="00AE12A7">
        <w:rPr>
          <w:rFonts w:ascii="Arial" w:hAnsi="Arial" w:cs="Arial"/>
          <w:lang w:eastAsia="es-MX"/>
        </w:rPr>
        <w:t>ha realizado el Instituto Nacional Penitenciario y Carcelario</w:t>
      </w:r>
      <w:r w:rsidR="00EA2384" w:rsidRPr="00AE12A7">
        <w:rPr>
          <w:rFonts w:ascii="Arial" w:hAnsi="Arial" w:cs="Arial"/>
          <w:lang w:eastAsia="es-MX"/>
        </w:rPr>
        <w:t>,</w:t>
      </w:r>
      <w:r w:rsidRPr="00AE12A7">
        <w:rPr>
          <w:rFonts w:ascii="Arial" w:hAnsi="Arial" w:cs="Arial"/>
          <w:lang w:eastAsia="es-MX"/>
        </w:rPr>
        <w:t xml:space="preserve"> con relación a la afectación a la salud pública, por el traslado </w:t>
      </w:r>
      <w:r w:rsidR="00EA2384" w:rsidRPr="00AE12A7">
        <w:rPr>
          <w:rFonts w:ascii="Arial" w:hAnsi="Arial" w:cs="Arial"/>
          <w:lang w:eastAsia="es-MX"/>
        </w:rPr>
        <w:t>de los privados de la libertad del Establecimiento Penitenciario y Carcelario de Villavicencio, hacia los Establecimientos de Florencia, Yopal,</w:t>
      </w:r>
      <w:r w:rsidR="00520A35" w:rsidRPr="00AE12A7">
        <w:rPr>
          <w:rFonts w:ascii="Arial" w:hAnsi="Arial" w:cs="Arial"/>
          <w:lang w:eastAsia="es-MX"/>
        </w:rPr>
        <w:t xml:space="preserve"> </w:t>
      </w:r>
      <w:r w:rsidR="00266E0B" w:rsidRPr="00AE12A7">
        <w:rPr>
          <w:rFonts w:ascii="Arial" w:hAnsi="Arial" w:cs="Arial"/>
          <w:lang w:eastAsia="es-MX"/>
        </w:rPr>
        <w:t>Ibagué</w:t>
      </w:r>
      <w:r w:rsidR="00520A35" w:rsidRPr="00AE12A7">
        <w:rPr>
          <w:rFonts w:ascii="Arial" w:hAnsi="Arial" w:cs="Arial"/>
          <w:lang w:eastAsia="es-MX"/>
        </w:rPr>
        <w:t>,</w:t>
      </w:r>
      <w:r w:rsidR="00EA2384" w:rsidRPr="00AE12A7">
        <w:rPr>
          <w:rFonts w:ascii="Arial" w:hAnsi="Arial" w:cs="Arial"/>
          <w:lang w:eastAsia="es-MX"/>
        </w:rPr>
        <w:t xml:space="preserve"> Guaduas y Bogotá.</w:t>
      </w:r>
    </w:p>
    <w:p w14:paraId="36BE0BC2" w14:textId="77777777" w:rsidR="00EA2384" w:rsidRPr="00AE12A7" w:rsidRDefault="00EA2384" w:rsidP="00413EC6">
      <w:pPr>
        <w:jc w:val="both"/>
        <w:rPr>
          <w:rFonts w:ascii="Arial" w:hAnsi="Arial" w:cs="Arial"/>
          <w:lang w:eastAsia="es-MX"/>
        </w:rPr>
      </w:pPr>
    </w:p>
    <w:p w14:paraId="33D5E8B2" w14:textId="77777777" w:rsidR="00EA2384" w:rsidRPr="00AE12A7" w:rsidRDefault="00EA2384" w:rsidP="00413EC6">
      <w:pPr>
        <w:jc w:val="both"/>
        <w:rPr>
          <w:rFonts w:ascii="Arial" w:hAnsi="Arial" w:cs="Arial"/>
          <w:lang w:eastAsia="es-MX"/>
        </w:rPr>
      </w:pPr>
      <w:r w:rsidRPr="00AE12A7">
        <w:rPr>
          <w:rFonts w:ascii="Arial" w:hAnsi="Arial" w:cs="Arial"/>
          <w:lang w:eastAsia="es-MX"/>
        </w:rPr>
        <w:t>Lo anterior, porque es evidente el perjuicio causado a la salud pública, y el riesgo en el que se ha puesto la salud y la vida de los funcionarios, sus familias, y las personas privadas de la libertad de los lugares de destino, a donde llegaron los PPL contagiados de COVID-19.</w:t>
      </w:r>
    </w:p>
    <w:p w14:paraId="304CB8A0" w14:textId="77777777" w:rsidR="00EA2384" w:rsidRPr="00AE12A7" w:rsidRDefault="00EA2384" w:rsidP="00413EC6">
      <w:pPr>
        <w:jc w:val="both"/>
        <w:rPr>
          <w:rFonts w:ascii="Arial" w:hAnsi="Arial" w:cs="Arial"/>
          <w:lang w:eastAsia="es-MX"/>
        </w:rPr>
      </w:pPr>
    </w:p>
    <w:p w14:paraId="0A53A24D" w14:textId="572E2269" w:rsidR="0042699E" w:rsidRPr="00AE12A7" w:rsidRDefault="00EA2384" w:rsidP="00413EC6">
      <w:pPr>
        <w:jc w:val="both"/>
        <w:rPr>
          <w:rFonts w:ascii="Arial" w:hAnsi="Arial" w:cs="Arial"/>
          <w:lang w:eastAsia="es-MX"/>
        </w:rPr>
      </w:pPr>
      <w:r w:rsidRPr="00AE12A7">
        <w:rPr>
          <w:rFonts w:ascii="Arial" w:hAnsi="Arial" w:cs="Arial"/>
          <w:lang w:eastAsia="es-MX"/>
        </w:rPr>
        <w:t xml:space="preserve">Han pasado </w:t>
      </w:r>
      <w:r w:rsidR="004A62D8" w:rsidRPr="00AE12A7">
        <w:rPr>
          <w:rFonts w:ascii="Arial" w:hAnsi="Arial" w:cs="Arial"/>
          <w:lang w:eastAsia="es-MX"/>
        </w:rPr>
        <w:t>varios días, incluso semanas, desde que la opinión publica conoció las consecuencias de la decisión de trasladar PPL en el marco de la pandemia,</w:t>
      </w:r>
      <w:r w:rsidR="0042699E" w:rsidRPr="00AE12A7">
        <w:rPr>
          <w:rFonts w:ascii="Arial" w:hAnsi="Arial" w:cs="Arial"/>
          <w:lang w:eastAsia="es-MX"/>
        </w:rPr>
        <w:t xml:space="preserve"> y</w:t>
      </w:r>
      <w:r w:rsidR="004A62D8" w:rsidRPr="00AE12A7">
        <w:rPr>
          <w:rFonts w:ascii="Arial" w:hAnsi="Arial" w:cs="Arial"/>
          <w:lang w:eastAsia="es-MX"/>
        </w:rPr>
        <w:t xml:space="preserve"> a la fecha no se conoce ninguna responsabilidad por estos hechos, somos respetuoso</w:t>
      </w:r>
      <w:r w:rsidR="0042699E" w:rsidRPr="00AE12A7">
        <w:rPr>
          <w:rFonts w:ascii="Arial" w:hAnsi="Arial" w:cs="Arial"/>
          <w:lang w:eastAsia="es-MX"/>
        </w:rPr>
        <w:t xml:space="preserve">s del debido proceso, pero lamentamos </w:t>
      </w:r>
      <w:r w:rsidR="00266E0B" w:rsidRPr="00AE12A7">
        <w:rPr>
          <w:rFonts w:ascii="Arial" w:hAnsi="Arial" w:cs="Arial"/>
          <w:lang w:eastAsia="es-MX"/>
        </w:rPr>
        <w:t xml:space="preserve">que se vaya a presentar </w:t>
      </w:r>
      <w:r w:rsidR="0042699E" w:rsidRPr="00AE12A7">
        <w:rPr>
          <w:rFonts w:ascii="Arial" w:hAnsi="Arial" w:cs="Arial"/>
          <w:lang w:eastAsia="es-MX"/>
        </w:rPr>
        <w:t xml:space="preserve">impunidad en la que </w:t>
      </w:r>
      <w:r w:rsidR="00266E0B" w:rsidRPr="00AE12A7">
        <w:rPr>
          <w:rFonts w:ascii="Arial" w:hAnsi="Arial" w:cs="Arial"/>
          <w:lang w:eastAsia="es-MX"/>
        </w:rPr>
        <w:t>no se ha realizado al parecer gestión por parte de la oficina de Control Único Disciplinario del INPEC</w:t>
      </w:r>
      <w:r w:rsidR="0042699E" w:rsidRPr="00AE12A7">
        <w:rPr>
          <w:rFonts w:ascii="Arial" w:hAnsi="Arial" w:cs="Arial"/>
          <w:lang w:eastAsia="es-MX"/>
        </w:rPr>
        <w:t xml:space="preserve">. </w:t>
      </w:r>
    </w:p>
    <w:p w14:paraId="45862516" w14:textId="77777777" w:rsidR="0042699E" w:rsidRPr="00AE12A7" w:rsidRDefault="0042699E" w:rsidP="00413EC6">
      <w:pPr>
        <w:jc w:val="both"/>
        <w:rPr>
          <w:rFonts w:ascii="Arial" w:hAnsi="Arial" w:cs="Arial"/>
          <w:lang w:eastAsia="es-MX"/>
        </w:rPr>
      </w:pPr>
    </w:p>
    <w:p w14:paraId="4A41CC90" w14:textId="77777777" w:rsidR="00AE12A7" w:rsidRPr="00AE12A7" w:rsidRDefault="00AE12A7" w:rsidP="00413EC6">
      <w:pPr>
        <w:tabs>
          <w:tab w:val="left" w:pos="1620"/>
          <w:tab w:val="center" w:pos="4780"/>
        </w:tabs>
        <w:jc w:val="both"/>
        <w:rPr>
          <w:rFonts w:ascii="Arial" w:hAnsi="Arial" w:cs="Arial"/>
          <w:b/>
          <w:bCs/>
        </w:rPr>
      </w:pPr>
    </w:p>
    <w:p w14:paraId="020D243B" w14:textId="765587A5" w:rsidR="00AE12A7" w:rsidRPr="00AE12A7" w:rsidRDefault="00AE12A7" w:rsidP="00413EC6">
      <w:pPr>
        <w:tabs>
          <w:tab w:val="left" w:pos="1620"/>
          <w:tab w:val="center" w:pos="4780"/>
        </w:tabs>
        <w:jc w:val="both"/>
        <w:rPr>
          <w:rFonts w:ascii="Arial" w:hAnsi="Arial" w:cs="Arial"/>
          <w:b/>
          <w:bCs/>
        </w:rPr>
      </w:pPr>
      <w:r w:rsidRPr="00AE12A7">
        <w:rPr>
          <w:rFonts w:ascii="Arial" w:hAnsi="Arial" w:cs="Arial"/>
          <w:b/>
          <w:bCs/>
        </w:rPr>
        <w:t>DE LA RESPONSABILIDAD DE LOS SERVIDORES PUBLICOS</w:t>
      </w:r>
    </w:p>
    <w:p w14:paraId="4D338CA0" w14:textId="77777777" w:rsidR="00AE12A7" w:rsidRPr="00AE12A7" w:rsidRDefault="00AE12A7" w:rsidP="00413EC6">
      <w:pPr>
        <w:tabs>
          <w:tab w:val="left" w:pos="1620"/>
          <w:tab w:val="center" w:pos="4780"/>
        </w:tabs>
        <w:jc w:val="both"/>
        <w:rPr>
          <w:rFonts w:ascii="Arial" w:hAnsi="Arial" w:cs="Arial"/>
          <w:b/>
          <w:bCs/>
        </w:rPr>
      </w:pPr>
    </w:p>
    <w:p w14:paraId="4DA6C1E0" w14:textId="77777777" w:rsidR="00AE12A7" w:rsidRPr="00AE12A7" w:rsidRDefault="00AE12A7" w:rsidP="00413EC6">
      <w:pPr>
        <w:shd w:val="clear" w:color="auto" w:fill="FFFFFF"/>
        <w:jc w:val="both"/>
        <w:rPr>
          <w:rFonts w:ascii="Arial" w:hAnsi="Arial" w:cs="Arial"/>
        </w:rPr>
      </w:pPr>
      <w:r w:rsidRPr="00AE12A7">
        <w:rPr>
          <w:rFonts w:ascii="Arial" w:hAnsi="Arial" w:cs="Arial"/>
          <w:color w:val="2D2D2D"/>
        </w:rPr>
        <w:t>El marco del régimen de responsabilidad patrimonial del Estado</w:t>
      </w:r>
      <w:r w:rsidRPr="00AE12A7">
        <w:rPr>
          <w:rFonts w:ascii="Arial" w:hAnsi="Arial" w:cs="Arial"/>
          <w:i/>
          <w:iCs/>
          <w:color w:val="2D2D2D"/>
        </w:rPr>
        <w:t> </w:t>
      </w:r>
      <w:r w:rsidRPr="00AE12A7">
        <w:rPr>
          <w:rFonts w:ascii="Arial" w:hAnsi="Arial" w:cs="Arial"/>
          <w:color w:val="2D2D2D"/>
        </w:rPr>
        <w:t>del artículo 90 en cuestión </w:t>
      </w:r>
      <w:r w:rsidRPr="00AE12A7">
        <w:rPr>
          <w:rFonts w:ascii="Arial" w:hAnsi="Arial" w:cs="Arial"/>
          <w:i/>
          <w:iCs/>
          <w:color w:val="2D2D2D"/>
        </w:rPr>
        <w:t>“le impone a aquel</w:t>
      </w:r>
      <w:r w:rsidRPr="00AE12A7">
        <w:rPr>
          <w:rFonts w:ascii="Arial" w:hAnsi="Arial" w:cs="Arial"/>
          <w:color w:val="2D2D2D"/>
        </w:rPr>
        <w:t> [al Estado]</w:t>
      </w:r>
      <w:r w:rsidRPr="00AE12A7">
        <w:rPr>
          <w:rFonts w:ascii="Arial" w:hAnsi="Arial" w:cs="Arial"/>
          <w:i/>
          <w:iCs/>
          <w:color w:val="2D2D2D"/>
        </w:rPr>
        <w:t xml:space="preserve"> el deber de responder patrimonialmente por los daños antijurídicos que le sean imputables, causados por la acción o la omisión de las autoridades públicas, es decir que el elemento fundamental de la responsabilidad es la existencia de un daño que la persona no está en el deber legal de soportar. Se observa entonces que no importa si el actuar de la Administración fue legal o no, para efectos de determinar la responsabilidad, puesto que la </w:t>
      </w:r>
      <w:r w:rsidRPr="00AE12A7">
        <w:rPr>
          <w:rFonts w:ascii="Arial" w:hAnsi="Arial" w:cs="Arial"/>
          <w:i/>
          <w:iCs/>
          <w:color w:val="2D2D2D"/>
        </w:rPr>
        <w:lastRenderedPageBreak/>
        <w:t>antijuridicidad no se predica de su comportamiento sino del daño sufrido por el afectado, que bien puede provenir de una actuación legítima de aquella; no obstante, la jurisprudencia continúa aplicando los regímenes de imputación de responsabilidad que de tiempo atrás ha ido decantando, ya que ellos facilitan el proceso de calificación de la conducta estatal y la determinación de la existencia del daño y del nexo causal de éste con aquella. El principal régimen de imputación de responsabilidad es el de la tradicional falla del servicio, dentro del cual la responsabilidad surge a partir de la comprobación de la existencia de tres elementos fundamentales: 1) el daño antijurídico sufrido por el interesado, 2) la falla del servicio propiamente dicha, que consiste en el deficiente funcionamiento del servicio, porque no funcionó cuando ha debido hacerlo, o lo hizo de manera tardía o equivocada, y finalmente, 3) una relación de causalidad entre estos dos elementos, es decir, la comprobación de que el daño se produjo como consecuencia de la falla del servicio”</w:t>
      </w:r>
      <w:bookmarkStart w:id="0" w:name="_ftnref20"/>
      <w:r w:rsidRPr="00AE12A7">
        <w:rPr>
          <w:rFonts w:ascii="Arial" w:hAnsi="Arial" w:cs="Arial"/>
        </w:rPr>
        <w:fldChar w:fldCharType="begin"/>
      </w:r>
      <w:r w:rsidRPr="00AE12A7">
        <w:rPr>
          <w:rFonts w:ascii="Arial" w:hAnsi="Arial" w:cs="Arial"/>
        </w:rPr>
        <w:instrText xml:space="preserve"> HYPERLINK  "https://www.corteconstitucional.gov.co/relatoria/2013/C-908-13.htm#_ftn20" </w:instrText>
      </w:r>
      <w:r w:rsidRPr="00AE12A7">
        <w:rPr>
          <w:rFonts w:ascii="Arial" w:hAnsi="Arial" w:cs="Arial"/>
        </w:rPr>
        <w:fldChar w:fldCharType="separate"/>
      </w:r>
      <w:r w:rsidRPr="00AE12A7">
        <w:rPr>
          <w:rFonts w:ascii="Arial" w:hAnsi="Arial" w:cs="Arial"/>
          <w:b/>
          <w:bCs/>
          <w:i/>
          <w:iCs/>
          <w:color w:val="954F72"/>
          <w:u w:val="single"/>
          <w:vertAlign w:val="superscript"/>
        </w:rPr>
        <w:t>[20]</w:t>
      </w:r>
      <w:r w:rsidRPr="00AE12A7">
        <w:rPr>
          <w:rFonts w:ascii="Arial" w:hAnsi="Arial" w:cs="Arial"/>
          <w:b/>
          <w:bCs/>
          <w:i/>
          <w:iCs/>
          <w:color w:val="954F72"/>
          <w:u w:val="single"/>
          <w:vertAlign w:val="superscript"/>
        </w:rPr>
        <w:fldChar w:fldCharType="end"/>
      </w:r>
      <w:bookmarkEnd w:id="0"/>
      <w:r w:rsidRPr="00AE12A7">
        <w:rPr>
          <w:rFonts w:ascii="Arial" w:hAnsi="Arial" w:cs="Arial"/>
          <w:i/>
          <w:iCs/>
          <w:color w:val="2D2D2D"/>
        </w:rPr>
        <w:t>.</w:t>
      </w:r>
    </w:p>
    <w:p w14:paraId="11688080" w14:textId="77777777" w:rsidR="00AE12A7" w:rsidRPr="00AE12A7" w:rsidRDefault="00AE12A7" w:rsidP="00413EC6">
      <w:pPr>
        <w:shd w:val="clear" w:color="auto" w:fill="FFFFFF"/>
        <w:jc w:val="both"/>
        <w:rPr>
          <w:rFonts w:ascii="Arial" w:hAnsi="Arial" w:cs="Arial"/>
          <w:color w:val="2D2D2D"/>
        </w:rPr>
      </w:pPr>
      <w:r w:rsidRPr="00AE12A7">
        <w:rPr>
          <w:rFonts w:ascii="Arial" w:hAnsi="Arial" w:cs="Arial"/>
          <w:color w:val="2D2D2D"/>
        </w:rPr>
        <w:t> </w:t>
      </w:r>
    </w:p>
    <w:p w14:paraId="711664F8" w14:textId="77777777" w:rsidR="00AE12A7" w:rsidRPr="00AE12A7" w:rsidRDefault="00AE12A7" w:rsidP="00413EC6">
      <w:pPr>
        <w:shd w:val="clear" w:color="auto" w:fill="FFFFFF"/>
        <w:jc w:val="both"/>
        <w:rPr>
          <w:rFonts w:ascii="Arial" w:hAnsi="Arial" w:cs="Arial"/>
        </w:rPr>
      </w:pPr>
      <w:r w:rsidRPr="00AE12A7">
        <w:rPr>
          <w:rFonts w:ascii="Arial" w:hAnsi="Arial" w:cs="Arial"/>
          <w:color w:val="2D2D2D"/>
        </w:rPr>
        <w:t>Son pues, la actuación del Estado y la configuración de un daño los que encuadran la responsabilidad patrimonial derivada de las acciones y omisiones de los servidores públicos. La jurisprudencia del Consejo de Estado, ha sostenido sobre el particular que “</w:t>
      </w:r>
      <w:r w:rsidRPr="00AE12A7">
        <w:rPr>
          <w:rFonts w:ascii="Arial" w:hAnsi="Arial" w:cs="Arial"/>
          <w:i/>
          <w:iCs/>
          <w:color w:val="2D2D2D"/>
        </w:rPr>
        <w:t>el artículo 90 de la Carta de 1991 es también un eficaz catalizador de los</w:t>
      </w:r>
      <w:r w:rsidRPr="00AE12A7">
        <w:rPr>
          <w:rFonts w:ascii="Arial" w:hAnsi="Arial" w:cs="Arial"/>
          <w:b/>
          <w:bCs/>
          <w:i/>
          <w:iCs/>
          <w:color w:val="2D2D2D"/>
        </w:rPr>
        <w:t> principios y valores que sirven de orientación política de nuestro Estado Social de Derecho</w:t>
      </w:r>
      <w:r w:rsidRPr="00AE12A7">
        <w:rPr>
          <w:rFonts w:ascii="Arial" w:hAnsi="Arial" w:cs="Arial"/>
          <w:i/>
          <w:iCs/>
          <w:color w:val="2D2D2D"/>
        </w:rPr>
        <w:t xml:space="preserve"> y que deben irradiar todo nuestro sistema jurídico, catálogo axiológico dentro del cual ocupa especial importancia la garantía de la libertad (preámbulo). </w:t>
      </w:r>
      <w:proofErr w:type="gramStart"/>
      <w:r w:rsidRPr="00AE12A7">
        <w:rPr>
          <w:rFonts w:ascii="Arial" w:hAnsi="Arial" w:cs="Arial"/>
          <w:i/>
          <w:iCs/>
          <w:color w:val="2D2D2D"/>
        </w:rPr>
        <w:t>Asimismo</w:t>
      </w:r>
      <w:proofErr w:type="gramEnd"/>
      <w:r w:rsidRPr="00AE12A7">
        <w:rPr>
          <w:rFonts w:ascii="Arial" w:hAnsi="Arial" w:cs="Arial"/>
          <w:i/>
          <w:iCs/>
          <w:color w:val="2D2D2D"/>
        </w:rPr>
        <w:t xml:space="preserve"> el artículo 90 sigue el hilo conductor de todo el ordenamiento democrático y liberal, que no puede ser otro que </w:t>
      </w:r>
      <w:r w:rsidRPr="00AE12A7">
        <w:rPr>
          <w:rFonts w:ascii="Arial" w:hAnsi="Arial" w:cs="Arial"/>
          <w:b/>
          <w:bCs/>
          <w:i/>
          <w:iCs/>
          <w:color w:val="2D2D2D"/>
        </w:rPr>
        <w:t>la eficacia general de los derechos fundamentales</w:t>
      </w:r>
      <w:r w:rsidRPr="00AE12A7">
        <w:rPr>
          <w:rFonts w:ascii="Arial" w:hAnsi="Arial" w:cs="Arial"/>
          <w:i/>
          <w:iCs/>
          <w:color w:val="2D2D2D"/>
        </w:rPr>
        <w:t xml:space="preserve">, los cuales vinculan a todas las manifestaciones del poder público, como enseña Locke y proclama en forma contundente la Carta Política al disponer que el Estado reconoce, sin discriminación alguna, la primacía de los derechos inalienables de la persona (art. 5 </w:t>
      </w:r>
      <w:proofErr w:type="spellStart"/>
      <w:r w:rsidRPr="00AE12A7">
        <w:rPr>
          <w:rFonts w:ascii="Arial" w:hAnsi="Arial" w:cs="Arial"/>
          <w:i/>
          <w:iCs/>
          <w:color w:val="2D2D2D"/>
        </w:rPr>
        <w:t>eiusdem</w:t>
      </w:r>
      <w:proofErr w:type="spellEnd"/>
      <w:r w:rsidRPr="00AE12A7">
        <w:rPr>
          <w:rFonts w:ascii="Arial" w:hAnsi="Arial" w:cs="Arial"/>
          <w:i/>
          <w:iCs/>
          <w:color w:val="2D2D2D"/>
        </w:rPr>
        <w:t>). En tales condiciones frente a cualquier </w:t>
      </w:r>
      <w:r w:rsidRPr="00AE12A7">
        <w:rPr>
          <w:rFonts w:ascii="Arial" w:hAnsi="Arial" w:cs="Arial"/>
          <w:b/>
          <w:bCs/>
          <w:i/>
          <w:iCs/>
          <w:color w:val="2D2D2D"/>
        </w:rPr>
        <w:t>daño antijurídico </w:t>
      </w:r>
      <w:r w:rsidRPr="00AE12A7">
        <w:rPr>
          <w:rFonts w:ascii="Arial" w:hAnsi="Arial" w:cs="Arial"/>
          <w:i/>
          <w:iCs/>
          <w:color w:val="2D2D2D"/>
        </w:rPr>
        <w:t>imputable a una autoridad pública con ocasión del ejercicio de uno de los llamados </w:t>
      </w:r>
      <w:r w:rsidRPr="00AE12A7">
        <w:rPr>
          <w:rFonts w:ascii="Arial" w:hAnsi="Arial" w:cs="Arial"/>
          <w:b/>
          <w:bCs/>
          <w:i/>
          <w:iCs/>
          <w:color w:val="2D2D2D"/>
        </w:rPr>
        <w:t>derechos de libertad,</w:t>
      </w:r>
      <w:r w:rsidRPr="00AE12A7">
        <w:rPr>
          <w:rFonts w:ascii="Arial" w:hAnsi="Arial" w:cs="Arial"/>
          <w:i/>
          <w:iCs/>
          <w:color w:val="2D2D2D"/>
        </w:rPr>
        <w:t> el Estado deberá responder patrimonialmente, no sólo porque así se infiere de una lectura insular del artículo 90 Constitucional, sino además porque se desprende de una lectura sistemática de la Carta”</w:t>
      </w:r>
      <w:bookmarkStart w:id="1" w:name="_ftnref21"/>
      <w:r w:rsidRPr="00AE12A7">
        <w:rPr>
          <w:rFonts w:ascii="Arial" w:hAnsi="Arial" w:cs="Arial"/>
        </w:rPr>
        <w:fldChar w:fldCharType="begin"/>
      </w:r>
      <w:r w:rsidRPr="00AE12A7">
        <w:rPr>
          <w:rFonts w:ascii="Arial" w:hAnsi="Arial" w:cs="Arial"/>
        </w:rPr>
        <w:instrText xml:space="preserve"> HYPERLINK  "https://www.corteconstitucional.gov.co/relatoria/2013/C-908-13.htm#_ftn21" </w:instrText>
      </w:r>
      <w:r w:rsidRPr="00AE12A7">
        <w:rPr>
          <w:rFonts w:ascii="Arial" w:hAnsi="Arial" w:cs="Arial"/>
        </w:rPr>
        <w:fldChar w:fldCharType="separate"/>
      </w:r>
      <w:r w:rsidRPr="00AE12A7">
        <w:rPr>
          <w:rFonts w:ascii="Arial" w:hAnsi="Arial" w:cs="Arial"/>
          <w:b/>
          <w:bCs/>
          <w:i/>
          <w:iCs/>
          <w:color w:val="954F72"/>
          <w:u w:val="single"/>
          <w:vertAlign w:val="superscript"/>
        </w:rPr>
        <w:t>[21]</w:t>
      </w:r>
      <w:r w:rsidRPr="00AE12A7">
        <w:rPr>
          <w:rFonts w:ascii="Arial" w:hAnsi="Arial" w:cs="Arial"/>
          <w:b/>
          <w:bCs/>
          <w:i/>
          <w:iCs/>
          <w:color w:val="954F72"/>
          <w:u w:val="single"/>
          <w:vertAlign w:val="superscript"/>
        </w:rPr>
        <w:fldChar w:fldCharType="end"/>
      </w:r>
      <w:bookmarkEnd w:id="1"/>
      <w:r w:rsidRPr="00AE12A7">
        <w:rPr>
          <w:rFonts w:ascii="Arial" w:hAnsi="Arial" w:cs="Arial"/>
          <w:i/>
          <w:iCs/>
          <w:color w:val="2D2D2D"/>
        </w:rPr>
        <w:t>.</w:t>
      </w:r>
    </w:p>
    <w:p w14:paraId="032C8053" w14:textId="77777777" w:rsidR="00AE12A7" w:rsidRPr="00AE12A7" w:rsidRDefault="00AE12A7" w:rsidP="00413EC6">
      <w:pPr>
        <w:shd w:val="clear" w:color="auto" w:fill="FFFFFF"/>
        <w:jc w:val="both"/>
        <w:rPr>
          <w:rFonts w:ascii="Arial" w:hAnsi="Arial" w:cs="Arial"/>
          <w:color w:val="2D2D2D"/>
        </w:rPr>
      </w:pPr>
      <w:r w:rsidRPr="00AE12A7">
        <w:rPr>
          <w:rFonts w:ascii="Arial" w:hAnsi="Arial" w:cs="Arial"/>
          <w:color w:val="2D2D2D"/>
        </w:rPr>
        <w:t> </w:t>
      </w:r>
    </w:p>
    <w:p w14:paraId="5D4397F0" w14:textId="77777777" w:rsidR="00AE12A7" w:rsidRPr="00AE12A7" w:rsidRDefault="00AE12A7" w:rsidP="00413EC6">
      <w:pPr>
        <w:shd w:val="clear" w:color="auto" w:fill="FFFFFF"/>
        <w:jc w:val="both"/>
        <w:rPr>
          <w:rFonts w:ascii="Arial" w:hAnsi="Arial" w:cs="Arial"/>
        </w:rPr>
      </w:pPr>
      <w:r w:rsidRPr="00AE12A7">
        <w:rPr>
          <w:rFonts w:ascii="Arial" w:hAnsi="Arial" w:cs="Arial"/>
          <w:color w:val="2D2D2D"/>
        </w:rPr>
        <w:t>18.- En relación con esto, la sentencia C-644 de 2011 concluyó que la responsabilidad patrimonial del Estado en nuestro sistema jurídico encuentra fundamento en el principio de la garantía integral del patrimonio de los ciudadanos, desarrollado </w:t>
      </w:r>
      <w:r w:rsidRPr="00AE12A7">
        <w:rPr>
          <w:rFonts w:ascii="Arial" w:hAnsi="Arial" w:cs="Arial"/>
          <w:i/>
          <w:iCs/>
          <w:color w:val="2D2D2D"/>
        </w:rPr>
        <w:t>in extenso</w:t>
      </w:r>
      <w:r w:rsidRPr="00AE12A7">
        <w:rPr>
          <w:rFonts w:ascii="Arial" w:hAnsi="Arial" w:cs="Arial"/>
          <w:color w:val="2D2D2D"/>
        </w:rPr>
        <w:t> por la jurisprudencia y expresamente consagrado en el artículo 90 de la Constitución Política, el cual a su vez debe interpretarse en concordancia con los artículos 2°,13, 58 y 83 del mismo ordenamiento superior que, por un lado, le impone a las autoridades de la República el deber de proteger a todas las personas en Colombia en su vida, honra y bienes.</w:t>
      </w:r>
    </w:p>
    <w:p w14:paraId="0528BD57" w14:textId="77777777" w:rsidR="00AE12A7" w:rsidRPr="00AE12A7" w:rsidRDefault="00AE12A7" w:rsidP="00413EC6">
      <w:pPr>
        <w:shd w:val="clear" w:color="auto" w:fill="FFFFFF"/>
        <w:jc w:val="both"/>
        <w:rPr>
          <w:rFonts w:ascii="Arial" w:hAnsi="Arial" w:cs="Arial"/>
          <w:color w:val="2D2D2D"/>
        </w:rPr>
      </w:pPr>
    </w:p>
    <w:p w14:paraId="06F47359" w14:textId="77777777" w:rsidR="00AE12A7" w:rsidRPr="00AE12A7" w:rsidRDefault="00AE12A7" w:rsidP="00413EC6">
      <w:pPr>
        <w:shd w:val="clear" w:color="auto" w:fill="FFFFFF"/>
        <w:jc w:val="both"/>
        <w:rPr>
          <w:rFonts w:ascii="Arial" w:hAnsi="Arial" w:cs="Arial"/>
        </w:rPr>
      </w:pPr>
      <w:r w:rsidRPr="00AE12A7">
        <w:rPr>
          <w:rFonts w:ascii="Arial" w:hAnsi="Arial" w:cs="Arial"/>
          <w:color w:val="2D2D2D"/>
        </w:rPr>
        <w:t>Por su parte el Artículo 6 de la Constitución Nacional establece;</w:t>
      </w:r>
      <w:r w:rsidRPr="00AE12A7">
        <w:rPr>
          <w:rFonts w:ascii="Arial" w:hAnsi="Arial" w:cs="Arial"/>
          <w:color w:val="222222"/>
          <w:shd w:val="clear" w:color="auto" w:fill="FFFFFF"/>
        </w:rPr>
        <w:t xml:space="preserve"> Los particulares sólo son responsables ante las autoridades por infringir la </w:t>
      </w:r>
      <w:r w:rsidRPr="00AE12A7">
        <w:rPr>
          <w:rFonts w:ascii="Arial" w:hAnsi="Arial" w:cs="Arial"/>
          <w:b/>
          <w:bCs/>
          <w:color w:val="222222"/>
          <w:shd w:val="clear" w:color="auto" w:fill="FFFFFF"/>
        </w:rPr>
        <w:t>Constitución</w:t>
      </w:r>
      <w:r w:rsidRPr="00AE12A7">
        <w:rPr>
          <w:rFonts w:ascii="Arial" w:hAnsi="Arial" w:cs="Arial"/>
          <w:color w:val="222222"/>
          <w:shd w:val="clear" w:color="auto" w:fill="FFFFFF"/>
        </w:rPr>
        <w:t> y las leyes. Los servidores públicos lo son por la misma causa y por omisión o extralimitación en el ejercicio de sus funciones.</w:t>
      </w:r>
    </w:p>
    <w:p w14:paraId="6AF9CE68" w14:textId="77777777" w:rsidR="00AE12A7" w:rsidRPr="00AE12A7" w:rsidRDefault="00AE12A7" w:rsidP="00413EC6">
      <w:pPr>
        <w:shd w:val="clear" w:color="auto" w:fill="FFFFFF"/>
        <w:jc w:val="both"/>
        <w:rPr>
          <w:rFonts w:ascii="Arial" w:hAnsi="Arial" w:cs="Arial"/>
          <w:color w:val="222222"/>
          <w:shd w:val="clear" w:color="auto" w:fill="FFFFFF"/>
        </w:rPr>
      </w:pPr>
    </w:p>
    <w:p w14:paraId="0C706B03" w14:textId="77777777" w:rsidR="00AE12A7" w:rsidRPr="00AE12A7" w:rsidRDefault="00AE12A7" w:rsidP="00413EC6">
      <w:pPr>
        <w:shd w:val="clear" w:color="auto" w:fill="FFFFFF"/>
        <w:jc w:val="both"/>
        <w:rPr>
          <w:rFonts w:ascii="Arial" w:hAnsi="Arial" w:cs="Arial"/>
          <w:color w:val="222222"/>
          <w:shd w:val="clear" w:color="auto" w:fill="FFFFFF"/>
        </w:rPr>
      </w:pPr>
      <w:r w:rsidRPr="00AE12A7">
        <w:rPr>
          <w:rFonts w:ascii="Arial" w:hAnsi="Arial" w:cs="Arial"/>
          <w:color w:val="222222"/>
          <w:shd w:val="clear" w:color="auto" w:fill="FFFFFF"/>
        </w:rPr>
        <w:t>Jurisprudencialmente se ha establecido que;</w:t>
      </w:r>
    </w:p>
    <w:p w14:paraId="4FC6160D" w14:textId="77777777" w:rsidR="00AE12A7" w:rsidRPr="00AE12A7" w:rsidRDefault="00AE12A7" w:rsidP="00413EC6">
      <w:pPr>
        <w:shd w:val="clear" w:color="auto" w:fill="FFFFFF"/>
        <w:jc w:val="both"/>
        <w:rPr>
          <w:rFonts w:ascii="Arial" w:hAnsi="Arial" w:cs="Arial"/>
          <w:color w:val="222222"/>
          <w:shd w:val="clear" w:color="auto" w:fill="FFFFFF"/>
        </w:rPr>
      </w:pPr>
    </w:p>
    <w:p w14:paraId="7D48C0E4" w14:textId="77777777" w:rsidR="00AE12A7" w:rsidRPr="00AE12A7" w:rsidRDefault="00AE12A7" w:rsidP="00413EC6">
      <w:pPr>
        <w:pStyle w:val="contenido"/>
        <w:spacing w:before="0" w:after="0"/>
        <w:jc w:val="both"/>
        <w:textAlignment w:val="baseline"/>
        <w:rPr>
          <w:rFonts w:ascii="Arial" w:hAnsi="Arial" w:cs="Arial"/>
          <w:i/>
          <w:iCs/>
          <w:color w:val="393939"/>
        </w:rPr>
      </w:pPr>
      <w:r w:rsidRPr="00AE12A7">
        <w:rPr>
          <w:rFonts w:ascii="Arial" w:hAnsi="Arial" w:cs="Arial"/>
          <w:i/>
          <w:iCs/>
          <w:color w:val="393939"/>
        </w:rPr>
        <w:t>El Tribunal Administrativo de Cundinamarca ha decidido que el concepto de la responsabilidad administrativa es aplicable a las consecuencias de actos u omisiones en la administración de Justicia, lo cual significa que cuando como resultado de actuaciones judiciales se deriven daños externos demostrables, el Estado debe responder pecuniariamente por la vía de la indemnización.</w:t>
      </w:r>
    </w:p>
    <w:p w14:paraId="6B1CF8AA" w14:textId="77777777" w:rsidR="00AE12A7" w:rsidRPr="00AE12A7" w:rsidRDefault="00AE12A7" w:rsidP="00413EC6">
      <w:pPr>
        <w:pStyle w:val="contenido"/>
        <w:spacing w:before="0" w:after="0"/>
        <w:jc w:val="both"/>
        <w:textAlignment w:val="baseline"/>
        <w:rPr>
          <w:rFonts w:ascii="Arial" w:hAnsi="Arial" w:cs="Arial"/>
          <w:i/>
          <w:iCs/>
          <w:color w:val="393939"/>
        </w:rPr>
      </w:pPr>
    </w:p>
    <w:p w14:paraId="517C8C1D" w14:textId="77777777" w:rsidR="00AE12A7" w:rsidRPr="00AE12A7" w:rsidRDefault="00AE12A7" w:rsidP="00413EC6">
      <w:pPr>
        <w:pStyle w:val="contenido"/>
        <w:spacing w:before="0" w:after="0"/>
        <w:jc w:val="both"/>
        <w:textAlignment w:val="baseline"/>
        <w:rPr>
          <w:rFonts w:ascii="Arial" w:hAnsi="Arial" w:cs="Arial"/>
          <w:i/>
          <w:iCs/>
          <w:color w:val="393939"/>
        </w:rPr>
      </w:pPr>
      <w:r w:rsidRPr="00AE12A7">
        <w:rPr>
          <w:rFonts w:ascii="Arial" w:hAnsi="Arial" w:cs="Arial"/>
          <w:i/>
          <w:iCs/>
          <w:color w:val="393939"/>
        </w:rPr>
        <w:t>Se trata de una apreciación justificada, si bien puede abrir camino a un inagotable semillero de litigios contra el erario. Pero al margen de la misma convendría hacer similar consideración a la que se ha hecho respecto de las destituciones indebidas en el sector público, no pocas veces ocasionadas por intereses personales o políticos. Se ha dicho que en el reconocimiento y pago de los perjuicios se debe vincular, proporcionalmente, al funcionario superior responsable del acto acusado, sobre todo cuando se establece debidamente la voluntariedad. No ha de ser exclusiva la responsabilidad para el Estado como ente abstracto.</w:t>
      </w:r>
    </w:p>
    <w:p w14:paraId="32182634" w14:textId="77777777" w:rsidR="00AE12A7" w:rsidRPr="00AE12A7" w:rsidRDefault="00AE12A7" w:rsidP="00413EC6">
      <w:pPr>
        <w:shd w:val="clear" w:color="auto" w:fill="FFFFFF"/>
        <w:jc w:val="both"/>
        <w:rPr>
          <w:rFonts w:ascii="Arial" w:hAnsi="Arial" w:cs="Arial"/>
          <w:i/>
          <w:iCs/>
          <w:color w:val="222222"/>
          <w:shd w:val="clear" w:color="auto" w:fill="FFFFFF"/>
        </w:rPr>
      </w:pPr>
    </w:p>
    <w:p w14:paraId="637E616B" w14:textId="77777777" w:rsidR="00AE12A7" w:rsidRPr="00AE12A7" w:rsidRDefault="00AE12A7" w:rsidP="00413EC6">
      <w:pPr>
        <w:shd w:val="clear" w:color="auto" w:fill="FFFFFF"/>
        <w:jc w:val="both"/>
        <w:rPr>
          <w:rFonts w:ascii="Arial" w:hAnsi="Arial" w:cs="Arial"/>
          <w:i/>
          <w:iCs/>
          <w:color w:val="222222"/>
          <w:shd w:val="clear" w:color="auto" w:fill="FFFFFF"/>
        </w:rPr>
      </w:pPr>
    </w:p>
    <w:p w14:paraId="026C3F7C" w14:textId="77777777" w:rsidR="00AE12A7" w:rsidRPr="00AE12A7" w:rsidRDefault="00AE12A7" w:rsidP="00413EC6">
      <w:pPr>
        <w:shd w:val="clear" w:color="auto" w:fill="FFFFFF"/>
        <w:jc w:val="both"/>
        <w:rPr>
          <w:rFonts w:ascii="Arial" w:hAnsi="Arial" w:cs="Arial"/>
          <w:color w:val="2D2D2D"/>
        </w:rPr>
      </w:pPr>
      <w:r w:rsidRPr="00AE12A7">
        <w:rPr>
          <w:rFonts w:ascii="Arial" w:hAnsi="Arial" w:cs="Arial"/>
          <w:color w:val="2D2D2D"/>
        </w:rPr>
        <w:t>En materia disciplinaria respecto a la acción u omisión del servidor público se ha dicho;</w:t>
      </w:r>
    </w:p>
    <w:p w14:paraId="0DCC23F5" w14:textId="77777777" w:rsidR="00AE12A7" w:rsidRPr="00AE12A7" w:rsidRDefault="00AE12A7" w:rsidP="00413EC6">
      <w:pPr>
        <w:shd w:val="clear" w:color="auto" w:fill="FFFFFF"/>
        <w:jc w:val="both"/>
        <w:rPr>
          <w:rFonts w:ascii="Arial" w:hAnsi="Arial" w:cs="Arial"/>
          <w:color w:val="2D2D2D"/>
        </w:rPr>
      </w:pPr>
    </w:p>
    <w:p w14:paraId="6B8C326A" w14:textId="77777777" w:rsidR="00AE12A7" w:rsidRPr="00AE12A7" w:rsidRDefault="00AE12A7" w:rsidP="00413EC6">
      <w:pPr>
        <w:pStyle w:val="NormalWeb"/>
        <w:shd w:val="clear" w:color="auto" w:fill="FFFFFF"/>
        <w:spacing w:after="0"/>
        <w:rPr>
          <w:rFonts w:ascii="Arial" w:hAnsi="Arial" w:cs="Arial"/>
        </w:rPr>
      </w:pPr>
      <w:r w:rsidRPr="00AE12A7">
        <w:rPr>
          <w:rFonts w:ascii="Arial" w:hAnsi="Arial" w:cs="Arial"/>
          <w:color w:val="4A4A4A"/>
        </w:rPr>
        <w:t>el artículo 23 de la Ley </w:t>
      </w:r>
      <w:hyperlink r:id="rId7" w:history="1">
        <w:r w:rsidRPr="00AE12A7">
          <w:rPr>
            <w:rStyle w:val="Hipervnculo"/>
            <w:rFonts w:ascii="Arial" w:hAnsi="Arial" w:cs="Arial"/>
            <w:color w:val="337AB7"/>
          </w:rPr>
          <w:t>734</w:t>
        </w:r>
      </w:hyperlink>
      <w:r w:rsidRPr="00AE12A7">
        <w:rPr>
          <w:rFonts w:ascii="Arial" w:hAnsi="Arial" w:cs="Arial"/>
          <w:color w:val="4A4A4A"/>
        </w:rPr>
        <w:t> de 2002, Código Único Disciplinario,</w:t>
      </w:r>
      <w:r w:rsidRPr="00AE12A7">
        <w:rPr>
          <w:rFonts w:ascii="Arial" w:hAnsi="Arial" w:cs="Arial"/>
          <w:b/>
          <w:bCs/>
          <w:color w:val="4A4A4A"/>
        </w:rPr>
        <w:t> </w:t>
      </w:r>
      <w:r w:rsidRPr="00AE12A7">
        <w:rPr>
          <w:rFonts w:ascii="Arial" w:hAnsi="Arial" w:cs="Arial"/>
          <w:color w:val="4A4A4A"/>
        </w:rPr>
        <w:t>establece:</w:t>
      </w:r>
    </w:p>
    <w:p w14:paraId="7C76F721" w14:textId="77777777" w:rsidR="00AE12A7" w:rsidRPr="00AE12A7" w:rsidRDefault="00AE12A7" w:rsidP="00413EC6">
      <w:pPr>
        <w:pStyle w:val="Textoindependiente"/>
        <w:shd w:val="clear" w:color="auto" w:fill="FFFFFF"/>
        <w:spacing w:after="0"/>
        <w:rPr>
          <w:rFonts w:ascii="Arial" w:hAnsi="Arial" w:cs="Arial"/>
          <w:color w:val="4A4A4A"/>
        </w:rPr>
      </w:pPr>
      <w:r w:rsidRPr="00AE12A7">
        <w:rPr>
          <w:rFonts w:ascii="Arial" w:hAnsi="Arial" w:cs="Arial"/>
          <w:color w:val="4A4A4A"/>
        </w:rPr>
        <w:t> </w:t>
      </w:r>
    </w:p>
    <w:p w14:paraId="7AF3991B" w14:textId="77777777" w:rsidR="00AE12A7" w:rsidRPr="00AE12A7" w:rsidRDefault="00AE12A7" w:rsidP="00413EC6">
      <w:pPr>
        <w:pStyle w:val="Textoindependiente"/>
        <w:shd w:val="clear" w:color="auto" w:fill="FFFFFF"/>
        <w:spacing w:after="0"/>
        <w:jc w:val="both"/>
        <w:rPr>
          <w:rFonts w:ascii="Arial" w:hAnsi="Arial" w:cs="Arial"/>
        </w:rPr>
      </w:pPr>
      <w:r w:rsidRPr="00AE12A7">
        <w:rPr>
          <w:rFonts w:ascii="Arial" w:hAnsi="Arial" w:cs="Arial"/>
          <w:b/>
          <w:bCs/>
          <w:i/>
          <w:iCs/>
          <w:color w:val="4A4A4A"/>
        </w:rPr>
        <w:t>“ARTÍCULO 23.</w:t>
      </w:r>
      <w:r w:rsidRPr="00AE12A7">
        <w:rPr>
          <w:rFonts w:ascii="Arial" w:hAnsi="Arial" w:cs="Arial"/>
          <w:i/>
          <w:iCs/>
          <w:color w:val="4A4A4A"/>
        </w:rPr>
        <w:t> </w:t>
      </w:r>
      <w:r w:rsidRPr="00AE12A7">
        <w:rPr>
          <w:rStyle w:val="Textoennegrita"/>
          <w:rFonts w:ascii="Arial" w:hAnsi="Arial" w:cs="Arial"/>
          <w:i/>
          <w:iCs/>
          <w:color w:val="4A4A4A"/>
        </w:rPr>
        <w:t>LA FALTA DISCIPLINARIA</w:t>
      </w:r>
      <w:r w:rsidRPr="00AE12A7">
        <w:rPr>
          <w:rFonts w:ascii="Arial" w:hAnsi="Arial" w:cs="Arial"/>
          <w:i/>
          <w:iCs/>
          <w:color w:val="4A4A4A"/>
        </w:rPr>
        <w:t>. </w:t>
      </w:r>
      <w:r w:rsidRPr="00AE12A7">
        <w:rPr>
          <w:rFonts w:ascii="Arial" w:hAnsi="Arial" w:cs="Arial"/>
          <w:i/>
          <w:iCs/>
          <w:color w:val="4A4A4A"/>
          <w:u w:val="single"/>
        </w:rPr>
        <w:t>Constituye falta disciplinaria, y por lo tanto da lugar a la acción e imposición de la sanción correspondiente, la incursión en cualquiera de las conductas o comportamientos previstos en este código que conlleve incumplimiento de deberes</w:t>
      </w:r>
      <w:r w:rsidRPr="00AE12A7">
        <w:rPr>
          <w:rFonts w:ascii="Arial" w:hAnsi="Arial" w:cs="Arial"/>
          <w:i/>
          <w:iCs/>
          <w:color w:val="4A4A4A"/>
        </w:rPr>
        <w:t>, extralimitación en el ejercicio de derechos y funciones, prohibiciones y violación del régimen de inhabilidades, incompatibilidades, impedimentos y conflicto de intereses, sin estar amparado por cualquiera de las causales de exclusión de responsabilidad contempladas en el artículo 28 del presente ordenamiento.” </w:t>
      </w:r>
      <w:r w:rsidRPr="00AE12A7">
        <w:rPr>
          <w:rFonts w:ascii="Arial" w:hAnsi="Arial" w:cs="Arial"/>
          <w:color w:val="4A4A4A"/>
        </w:rPr>
        <w:t>(Subraya fuera de texto)</w:t>
      </w:r>
    </w:p>
    <w:p w14:paraId="6E45A534" w14:textId="77777777" w:rsidR="00AE12A7" w:rsidRPr="00AE12A7" w:rsidRDefault="00AE12A7" w:rsidP="00413EC6">
      <w:pPr>
        <w:pStyle w:val="Textoindependiente"/>
        <w:shd w:val="clear" w:color="auto" w:fill="FFFFFF"/>
        <w:spacing w:after="0"/>
        <w:rPr>
          <w:rFonts w:ascii="Arial" w:hAnsi="Arial" w:cs="Arial"/>
        </w:rPr>
      </w:pPr>
      <w:r w:rsidRPr="00AE12A7">
        <w:rPr>
          <w:rFonts w:ascii="Arial" w:hAnsi="Arial" w:cs="Arial"/>
          <w:i/>
          <w:iCs/>
          <w:color w:val="4A4A4A"/>
        </w:rPr>
        <w:t> </w:t>
      </w:r>
    </w:p>
    <w:p w14:paraId="00DFBA99" w14:textId="77777777" w:rsidR="00AE12A7" w:rsidRPr="00AE12A7" w:rsidRDefault="00AE12A7" w:rsidP="00413EC6">
      <w:pPr>
        <w:shd w:val="clear" w:color="auto" w:fill="FFFFFF"/>
        <w:jc w:val="both"/>
        <w:rPr>
          <w:rFonts w:ascii="Arial" w:hAnsi="Arial" w:cs="Arial"/>
          <w:color w:val="4A4A4A"/>
        </w:rPr>
      </w:pPr>
      <w:r w:rsidRPr="00AE12A7">
        <w:rPr>
          <w:rFonts w:ascii="Arial" w:hAnsi="Arial" w:cs="Arial"/>
          <w:color w:val="4A4A4A"/>
        </w:rPr>
        <w:t>De acuerdo con la Constitución Política y la ley, los servidores públicos deben responder ante las autoridades por infringir la Constitución y la ley, por la omisión en el ejercicio de sus funciones, el incumplimiento de sus deberes y por la extralimitación en las mismas.</w:t>
      </w:r>
    </w:p>
    <w:p w14:paraId="2206390E" w14:textId="77777777" w:rsidR="00AE12A7" w:rsidRPr="00AE12A7" w:rsidRDefault="00AE12A7" w:rsidP="00413EC6">
      <w:pPr>
        <w:pStyle w:val="Textoindependiente"/>
        <w:shd w:val="clear" w:color="auto" w:fill="FFFFFF"/>
        <w:spacing w:after="0"/>
        <w:rPr>
          <w:rFonts w:ascii="Arial" w:hAnsi="Arial" w:cs="Arial"/>
          <w:color w:val="4A4A4A"/>
        </w:rPr>
      </w:pPr>
      <w:r w:rsidRPr="00AE12A7">
        <w:rPr>
          <w:rFonts w:ascii="Arial" w:hAnsi="Arial" w:cs="Arial"/>
          <w:color w:val="4A4A4A"/>
        </w:rPr>
        <w:lastRenderedPageBreak/>
        <w:t> </w:t>
      </w:r>
    </w:p>
    <w:p w14:paraId="63C78DC6" w14:textId="77777777" w:rsidR="00AE12A7" w:rsidRPr="00AE12A7" w:rsidRDefault="00AE12A7" w:rsidP="00413EC6">
      <w:pPr>
        <w:pStyle w:val="Textoindependiente"/>
        <w:shd w:val="clear" w:color="auto" w:fill="FFFFFF"/>
        <w:spacing w:after="0"/>
        <w:jc w:val="both"/>
        <w:rPr>
          <w:rFonts w:ascii="Arial" w:hAnsi="Arial" w:cs="Arial"/>
          <w:color w:val="4A4A4A"/>
        </w:rPr>
      </w:pPr>
      <w:r w:rsidRPr="00AE12A7">
        <w:rPr>
          <w:rFonts w:ascii="Arial" w:hAnsi="Arial" w:cs="Arial"/>
          <w:color w:val="4A4A4A"/>
        </w:rPr>
        <w:t>Sobre el particular se ha pronunciado la Procuraduría Primera Delegada de la Vigilancia Administrativa dentro del proceso identificado con el No. Rad. 052-8046-04 en respuesta al recurso de apelación al fallo de primera instancia, el 11 de octubre de 2006, en los siguientes términos:</w:t>
      </w:r>
    </w:p>
    <w:p w14:paraId="7996D967" w14:textId="77777777" w:rsidR="00AE12A7" w:rsidRPr="00AE12A7" w:rsidRDefault="00AE12A7" w:rsidP="00413EC6">
      <w:pPr>
        <w:pStyle w:val="Textoindependiente"/>
        <w:shd w:val="clear" w:color="auto" w:fill="FFFFFF"/>
        <w:spacing w:after="0"/>
        <w:rPr>
          <w:rFonts w:ascii="Arial" w:hAnsi="Arial" w:cs="Arial"/>
          <w:color w:val="4A4A4A"/>
        </w:rPr>
      </w:pPr>
      <w:r w:rsidRPr="00AE12A7">
        <w:rPr>
          <w:rFonts w:ascii="Arial" w:hAnsi="Arial" w:cs="Arial"/>
          <w:color w:val="4A4A4A"/>
        </w:rPr>
        <w:t> </w:t>
      </w:r>
    </w:p>
    <w:p w14:paraId="2B1F3F4D" w14:textId="77777777" w:rsidR="00AE12A7" w:rsidRPr="00AE12A7" w:rsidRDefault="00AE12A7" w:rsidP="00413EC6">
      <w:pPr>
        <w:shd w:val="clear" w:color="auto" w:fill="FFFFFF"/>
        <w:jc w:val="both"/>
        <w:rPr>
          <w:rFonts w:ascii="Arial" w:hAnsi="Arial" w:cs="Arial"/>
        </w:rPr>
      </w:pPr>
      <w:r w:rsidRPr="00AE12A7">
        <w:rPr>
          <w:rFonts w:ascii="Arial" w:hAnsi="Arial" w:cs="Arial"/>
          <w:i/>
          <w:iCs/>
          <w:color w:val="4A4A4A"/>
        </w:rPr>
        <w:t>“Al respecto es importante hacer algunas precisiones de orden jurídico:</w:t>
      </w:r>
    </w:p>
    <w:p w14:paraId="68CC429D" w14:textId="77777777" w:rsidR="00AE12A7" w:rsidRPr="00AE12A7" w:rsidRDefault="00AE12A7" w:rsidP="00413EC6">
      <w:pPr>
        <w:shd w:val="clear" w:color="auto" w:fill="FFFFFF"/>
        <w:jc w:val="both"/>
        <w:rPr>
          <w:rFonts w:ascii="Arial" w:hAnsi="Arial" w:cs="Arial"/>
        </w:rPr>
      </w:pPr>
      <w:r w:rsidRPr="00AE12A7">
        <w:rPr>
          <w:rFonts w:ascii="Arial" w:hAnsi="Arial" w:cs="Arial"/>
          <w:i/>
          <w:iCs/>
          <w:color w:val="4A4A4A"/>
        </w:rPr>
        <w:t> </w:t>
      </w:r>
    </w:p>
    <w:p w14:paraId="7F247279" w14:textId="77777777" w:rsidR="00AE12A7" w:rsidRPr="00AE12A7" w:rsidRDefault="00AE12A7" w:rsidP="00413EC6">
      <w:pPr>
        <w:shd w:val="clear" w:color="auto" w:fill="FFFFFF"/>
        <w:jc w:val="both"/>
        <w:rPr>
          <w:rFonts w:ascii="Arial" w:hAnsi="Arial" w:cs="Arial"/>
        </w:rPr>
      </w:pPr>
      <w:r w:rsidRPr="00AE12A7">
        <w:rPr>
          <w:rFonts w:ascii="Arial" w:hAnsi="Arial" w:cs="Arial"/>
          <w:i/>
          <w:iCs/>
          <w:color w:val="4A4A4A"/>
        </w:rPr>
        <w:t xml:space="preserve">El artículo 6 de la Carta Política prevé la cláusula general de responsabilidad de los ciudadanos y, la específica y excluyente de los servidores públicos, los cuales deben responder ante las autoridades por infringir la Constitución, la ley, así como por la omisión o extralimitación en el ejercicio de sus funciones, norma que en consonancia con el artículo 122 </w:t>
      </w:r>
      <w:proofErr w:type="spellStart"/>
      <w:r w:rsidRPr="00AE12A7">
        <w:rPr>
          <w:rFonts w:ascii="Arial" w:hAnsi="Arial" w:cs="Arial"/>
          <w:i/>
          <w:iCs/>
          <w:color w:val="4A4A4A"/>
        </w:rPr>
        <w:t>ibídem</w:t>
      </w:r>
      <w:proofErr w:type="spellEnd"/>
      <w:r w:rsidRPr="00AE12A7">
        <w:rPr>
          <w:rFonts w:ascii="Arial" w:hAnsi="Arial" w:cs="Arial"/>
          <w:i/>
          <w:iCs/>
          <w:color w:val="4A4A4A"/>
        </w:rPr>
        <w:t>, armoniza su contenido al determinar que no existirá cargo o empleo público que no tenga funciones detalladas en la ley o reglamento y todo servidor público, deberá ejercer su cargo jurando cumplir y defender la Constitución y desempeñar los deberes que le incumben.</w:t>
      </w:r>
    </w:p>
    <w:p w14:paraId="34488C4F" w14:textId="77777777" w:rsidR="00AE12A7" w:rsidRPr="00AE12A7" w:rsidRDefault="00AE12A7" w:rsidP="00413EC6">
      <w:pPr>
        <w:shd w:val="clear" w:color="auto" w:fill="FFFFFF"/>
        <w:jc w:val="both"/>
        <w:rPr>
          <w:rFonts w:ascii="Arial" w:hAnsi="Arial" w:cs="Arial"/>
        </w:rPr>
      </w:pPr>
      <w:r w:rsidRPr="00AE12A7">
        <w:rPr>
          <w:rFonts w:ascii="Arial" w:hAnsi="Arial" w:cs="Arial"/>
          <w:i/>
          <w:iCs/>
          <w:color w:val="4A4A4A"/>
        </w:rPr>
        <w:t> </w:t>
      </w:r>
    </w:p>
    <w:p w14:paraId="5E3B9262" w14:textId="77777777" w:rsidR="00AE12A7" w:rsidRPr="00AE12A7" w:rsidRDefault="00AE12A7" w:rsidP="00413EC6">
      <w:pPr>
        <w:pStyle w:val="Textoindependiente"/>
        <w:shd w:val="clear" w:color="auto" w:fill="FFFFFF"/>
        <w:spacing w:after="0"/>
        <w:jc w:val="both"/>
        <w:rPr>
          <w:rFonts w:ascii="Arial" w:hAnsi="Arial" w:cs="Arial"/>
        </w:rPr>
      </w:pPr>
      <w:r w:rsidRPr="00AE12A7">
        <w:rPr>
          <w:rFonts w:ascii="Arial" w:hAnsi="Arial" w:cs="Arial"/>
          <w:b/>
          <w:bCs/>
          <w:i/>
          <w:iCs/>
          <w:color w:val="4A4A4A"/>
        </w:rPr>
        <w:t>Así las cosas, para determinar la responsabilidad de cualquier servidor público, es indispensable precisar el ámbito de sus deberes funcionales, de tal suerte que, se pueda establecer cuándo se está ante una omisión o una extralimitación. </w:t>
      </w:r>
      <w:r w:rsidRPr="00AE12A7">
        <w:rPr>
          <w:rFonts w:ascii="Arial" w:hAnsi="Arial" w:cs="Arial"/>
          <w:i/>
          <w:iCs/>
          <w:color w:val="4A4A4A"/>
        </w:rPr>
        <w:t>“(El resaltado es nuestro).</w:t>
      </w:r>
    </w:p>
    <w:p w14:paraId="2E6B91B8" w14:textId="77777777" w:rsidR="00AE12A7" w:rsidRPr="00AE12A7" w:rsidRDefault="00AE12A7" w:rsidP="00413EC6">
      <w:pPr>
        <w:pStyle w:val="Textoindependiente"/>
        <w:shd w:val="clear" w:color="auto" w:fill="FFFFFF"/>
        <w:spacing w:after="0"/>
        <w:rPr>
          <w:rFonts w:ascii="Arial" w:hAnsi="Arial" w:cs="Arial"/>
        </w:rPr>
      </w:pPr>
      <w:r w:rsidRPr="00AE12A7">
        <w:rPr>
          <w:rFonts w:ascii="Arial" w:hAnsi="Arial" w:cs="Arial"/>
          <w:i/>
          <w:iCs/>
          <w:color w:val="4A4A4A"/>
        </w:rPr>
        <w:t> </w:t>
      </w:r>
    </w:p>
    <w:p w14:paraId="6FC20AB2" w14:textId="77777777" w:rsidR="00AE12A7" w:rsidRPr="00AE12A7" w:rsidRDefault="00AE12A7" w:rsidP="00413EC6">
      <w:pPr>
        <w:pStyle w:val="Textoindependiente"/>
        <w:shd w:val="clear" w:color="auto" w:fill="FFFFFF"/>
        <w:spacing w:after="0"/>
        <w:rPr>
          <w:rFonts w:ascii="Arial" w:hAnsi="Arial" w:cs="Arial"/>
        </w:rPr>
      </w:pPr>
      <w:r w:rsidRPr="00AE12A7">
        <w:rPr>
          <w:rFonts w:ascii="Arial" w:hAnsi="Arial" w:cs="Arial"/>
          <w:i/>
          <w:iCs/>
          <w:color w:val="4A4A4A"/>
        </w:rPr>
        <w:t xml:space="preserve">Igualmente, esta misma </w:t>
      </w:r>
      <w:proofErr w:type="gramStart"/>
      <w:r w:rsidRPr="00AE12A7">
        <w:rPr>
          <w:rFonts w:ascii="Arial" w:hAnsi="Arial" w:cs="Arial"/>
          <w:i/>
          <w:iCs/>
          <w:color w:val="4A4A4A"/>
        </w:rPr>
        <w:t>Delegada</w:t>
      </w:r>
      <w:proofErr w:type="gramEnd"/>
      <w:r w:rsidRPr="00AE12A7">
        <w:rPr>
          <w:rFonts w:ascii="Arial" w:hAnsi="Arial" w:cs="Arial"/>
          <w:i/>
          <w:iCs/>
          <w:color w:val="4A4A4A"/>
        </w:rPr>
        <w:t xml:space="preserve"> dentro del proceso con Radicación: 013-132166-05, de fecha 19 de octubre de 2006, afirmo sobre la responsabilidad del funcionario público lo siguiente:</w:t>
      </w:r>
    </w:p>
    <w:p w14:paraId="02213A1E" w14:textId="77777777" w:rsidR="00AE12A7" w:rsidRPr="00AE12A7" w:rsidRDefault="00AE12A7" w:rsidP="00413EC6">
      <w:pPr>
        <w:pStyle w:val="Textoindependiente"/>
        <w:shd w:val="clear" w:color="auto" w:fill="FFFFFF"/>
        <w:spacing w:after="0"/>
        <w:rPr>
          <w:rFonts w:ascii="Arial" w:hAnsi="Arial" w:cs="Arial"/>
        </w:rPr>
      </w:pPr>
      <w:r w:rsidRPr="00AE12A7">
        <w:rPr>
          <w:rFonts w:ascii="Arial" w:hAnsi="Arial" w:cs="Arial"/>
          <w:i/>
          <w:iCs/>
          <w:color w:val="4A4A4A"/>
        </w:rPr>
        <w:t> </w:t>
      </w:r>
    </w:p>
    <w:p w14:paraId="4FBF304B" w14:textId="77777777" w:rsidR="00AE12A7" w:rsidRPr="00AE12A7" w:rsidRDefault="00AE12A7" w:rsidP="00413EC6">
      <w:pPr>
        <w:shd w:val="clear" w:color="auto" w:fill="FFFFFF"/>
        <w:jc w:val="both"/>
        <w:rPr>
          <w:rFonts w:ascii="Arial" w:hAnsi="Arial" w:cs="Arial"/>
        </w:rPr>
      </w:pPr>
      <w:r w:rsidRPr="00AE12A7">
        <w:rPr>
          <w:rFonts w:ascii="Arial" w:hAnsi="Arial" w:cs="Arial"/>
          <w:i/>
          <w:iCs/>
          <w:color w:val="4A4A4A"/>
        </w:rPr>
        <w:t>“En </w:t>
      </w:r>
      <w:r w:rsidRPr="00AE12A7">
        <w:rPr>
          <w:rFonts w:ascii="Arial" w:hAnsi="Arial" w:cs="Arial"/>
          <w:i/>
          <w:iCs/>
          <w:color w:val="4A4A4A"/>
          <w:u w:val="single"/>
        </w:rPr>
        <w:t>el cumplimiento de esos cometidos estatales y durante el ejercicio de las correspondientes funciones o cargos públicos, los servidores públicos no pueden distanciarse del objeto principal para el cual fueron instituidos, como es el de servir al Estado y a la comunidad en la forma establecida en la Constitución, la ley, y el reglamento; por lo tanto, pueden verse sometidos a una responsabilidad pública de índole disciplinaria, cuando en su desempeño vulneran el ordenamiento superior y legal vigente, así como por la omisión o extralimitación en el ejercicio de sus funcione</w:t>
      </w:r>
      <w:r w:rsidRPr="00AE12A7">
        <w:rPr>
          <w:rFonts w:ascii="Arial" w:hAnsi="Arial" w:cs="Arial"/>
          <w:i/>
          <w:iCs/>
          <w:color w:val="4A4A4A"/>
        </w:rPr>
        <w:t>s ( arts. 6 y 123 CN)”.</w:t>
      </w:r>
      <w:r w:rsidRPr="00AE12A7">
        <w:rPr>
          <w:rFonts w:ascii="Arial" w:hAnsi="Arial" w:cs="Arial"/>
          <w:i/>
          <w:iCs/>
          <w:color w:val="4A4A4A"/>
          <w:vertAlign w:val="superscript"/>
        </w:rPr>
        <w:t>1</w:t>
      </w:r>
      <w:r w:rsidRPr="00AE12A7">
        <w:rPr>
          <w:rFonts w:ascii="Arial" w:hAnsi="Arial" w:cs="Arial"/>
          <w:i/>
          <w:iCs/>
          <w:color w:val="4A4A4A"/>
        </w:rPr>
        <w:t>” (Subraya fuera de texto)</w:t>
      </w:r>
    </w:p>
    <w:p w14:paraId="74AC8B35" w14:textId="77777777" w:rsidR="00AE12A7" w:rsidRPr="00AE12A7" w:rsidRDefault="00AE12A7" w:rsidP="00413EC6">
      <w:pPr>
        <w:pStyle w:val="Textoindependiente"/>
        <w:shd w:val="clear" w:color="auto" w:fill="FFFFFF"/>
        <w:spacing w:after="0"/>
        <w:rPr>
          <w:rFonts w:ascii="Arial" w:hAnsi="Arial" w:cs="Arial"/>
          <w:color w:val="4A4A4A"/>
        </w:rPr>
      </w:pPr>
      <w:r w:rsidRPr="00AE12A7">
        <w:rPr>
          <w:rFonts w:ascii="Arial" w:hAnsi="Arial" w:cs="Arial"/>
          <w:color w:val="4A4A4A"/>
        </w:rPr>
        <w:t> </w:t>
      </w:r>
    </w:p>
    <w:p w14:paraId="1A65588F" w14:textId="3191F560" w:rsidR="00AE12A7" w:rsidRPr="00AE12A7" w:rsidRDefault="00AE12A7" w:rsidP="00413EC6">
      <w:pPr>
        <w:pStyle w:val="Textoindependiente2"/>
        <w:shd w:val="clear" w:color="auto" w:fill="FFFFFF"/>
        <w:rPr>
          <w:rFonts w:ascii="Arial" w:hAnsi="Arial" w:cs="Arial"/>
          <w:color w:val="4A4A4A"/>
          <w:sz w:val="24"/>
          <w:szCs w:val="24"/>
        </w:rPr>
      </w:pPr>
      <w:r w:rsidRPr="00AE12A7">
        <w:rPr>
          <w:rFonts w:ascii="Arial" w:hAnsi="Arial" w:cs="Arial"/>
          <w:color w:val="4A4A4A"/>
          <w:sz w:val="24"/>
          <w:szCs w:val="24"/>
        </w:rPr>
        <w:t xml:space="preserve">De acuerdo con lo señalado por la Procuraduría Delegada, la omisión de funciones de los servidores públicos puede dar lugar a responsabilidad disciplinaria, en razón a que </w:t>
      </w:r>
      <w:r w:rsidR="008F79E9" w:rsidRPr="00AE12A7">
        <w:rPr>
          <w:rFonts w:ascii="Arial" w:hAnsi="Arial" w:cs="Arial"/>
          <w:color w:val="4A4A4A"/>
          <w:sz w:val="24"/>
          <w:szCs w:val="24"/>
        </w:rPr>
        <w:t>el cumplimiento de las funciones de un empleo deberá</w:t>
      </w:r>
      <w:r w:rsidRPr="00AE12A7">
        <w:rPr>
          <w:rFonts w:ascii="Arial" w:hAnsi="Arial" w:cs="Arial"/>
          <w:color w:val="4A4A4A"/>
          <w:sz w:val="24"/>
          <w:szCs w:val="24"/>
        </w:rPr>
        <w:t xml:space="preserve"> estar encaminados al servicio del Estado y la comunidad, por ello, debe revisarse las actuaciones de un servidor público en consonancia con las funciones detalladas en la ley o reglamento para cada caso.</w:t>
      </w:r>
    </w:p>
    <w:p w14:paraId="3D03136E" w14:textId="4CA1578D" w:rsidR="00AE12A7" w:rsidRDefault="00AE12A7" w:rsidP="00413EC6">
      <w:pPr>
        <w:jc w:val="both"/>
        <w:rPr>
          <w:rFonts w:ascii="Arial" w:hAnsi="Arial" w:cs="Arial"/>
          <w:color w:val="000000"/>
          <w:lang w:eastAsia="en-US"/>
        </w:rPr>
      </w:pPr>
    </w:p>
    <w:p w14:paraId="331BAF47" w14:textId="77777777" w:rsidR="00BC285F" w:rsidRPr="00AE12A7" w:rsidRDefault="00BC285F" w:rsidP="00413EC6">
      <w:pPr>
        <w:jc w:val="both"/>
        <w:rPr>
          <w:rFonts w:ascii="Arial" w:hAnsi="Arial" w:cs="Arial"/>
          <w:lang w:eastAsia="es-MX"/>
        </w:rPr>
      </w:pPr>
      <w:r w:rsidRPr="00AE12A7">
        <w:rPr>
          <w:rFonts w:ascii="Arial" w:hAnsi="Arial" w:cs="Arial"/>
          <w:lang w:eastAsia="es-MX"/>
        </w:rPr>
        <w:lastRenderedPageBreak/>
        <w:t xml:space="preserve">Reiteramos que la </w:t>
      </w:r>
      <w:r w:rsidRPr="00AE12A7">
        <w:rPr>
          <w:rFonts w:ascii="Arial" w:hAnsi="Arial" w:cs="Arial"/>
        </w:rPr>
        <w:t xml:space="preserve">Dirección Regional Central del </w:t>
      </w:r>
      <w:r w:rsidRPr="008F79E9">
        <w:rPr>
          <w:rFonts w:ascii="Arial" w:hAnsi="Arial" w:cs="Arial"/>
          <w:b/>
          <w:bCs/>
        </w:rPr>
        <w:t>INPEC</w:t>
      </w:r>
      <w:r w:rsidRPr="00AE12A7">
        <w:rPr>
          <w:rFonts w:ascii="Arial" w:hAnsi="Arial" w:cs="Arial"/>
        </w:rPr>
        <w:t xml:space="preserve"> ya requiere un relevo, que permita rectificar del autoritarismo a la acción dinámica de coordinación con respeto a los funcionarios</w:t>
      </w:r>
      <w:r w:rsidRPr="00AE12A7">
        <w:rPr>
          <w:rFonts w:ascii="Arial" w:hAnsi="Arial" w:cs="Arial"/>
          <w:lang w:eastAsia="es-MX"/>
        </w:rPr>
        <w:t>.</w:t>
      </w:r>
    </w:p>
    <w:p w14:paraId="64A899A8" w14:textId="77777777" w:rsidR="00BC285F" w:rsidRPr="00AE12A7" w:rsidRDefault="00BC285F" w:rsidP="00413EC6">
      <w:pPr>
        <w:jc w:val="both"/>
        <w:rPr>
          <w:rFonts w:ascii="Arial" w:hAnsi="Arial" w:cs="Arial"/>
          <w:color w:val="000000"/>
          <w:lang w:eastAsia="en-US"/>
        </w:rPr>
      </w:pPr>
    </w:p>
    <w:p w14:paraId="0F492545" w14:textId="77777777" w:rsidR="00B34B9E" w:rsidRPr="00AE12A7" w:rsidRDefault="00B34B9E" w:rsidP="00413EC6">
      <w:pPr>
        <w:rPr>
          <w:rFonts w:ascii="Arial" w:hAnsi="Arial" w:cs="Arial"/>
          <w:lang w:eastAsia="es-MX"/>
        </w:rPr>
      </w:pPr>
    </w:p>
    <w:p w14:paraId="04278DC1" w14:textId="77777777" w:rsidR="00471710" w:rsidRPr="00AE12A7" w:rsidRDefault="00471710" w:rsidP="00413EC6">
      <w:pPr>
        <w:rPr>
          <w:rFonts w:ascii="Arial" w:hAnsi="Arial" w:cs="Arial"/>
          <w:lang w:val="es-MX" w:eastAsia="es-MX"/>
        </w:rPr>
      </w:pPr>
      <w:r w:rsidRPr="00AE12A7">
        <w:rPr>
          <w:rFonts w:ascii="Arial" w:hAnsi="Arial" w:cs="Arial"/>
          <w:lang w:val="es-MX" w:eastAsia="es-MX"/>
        </w:rPr>
        <w:t>Atentamente,</w:t>
      </w:r>
    </w:p>
    <w:p w14:paraId="7C75D5BD" w14:textId="156C8C8C" w:rsidR="00471710" w:rsidRPr="00AE12A7" w:rsidRDefault="00471710" w:rsidP="00413EC6">
      <w:pPr>
        <w:jc w:val="both"/>
        <w:rPr>
          <w:rFonts w:ascii="Arial" w:hAnsi="Arial" w:cs="Arial"/>
        </w:rPr>
      </w:pPr>
      <w:r w:rsidRPr="00AE12A7">
        <w:rPr>
          <w:rFonts w:ascii="Arial" w:hAnsi="Arial" w:cs="Arial"/>
          <w:noProof/>
          <w:lang w:val="es-CO" w:eastAsia="es-CO"/>
        </w:rPr>
        <w:t xml:space="preserve">         </w:t>
      </w:r>
      <w:r w:rsidR="00F404C9" w:rsidRPr="00AE12A7">
        <w:rPr>
          <w:rFonts w:ascii="Arial" w:hAnsi="Arial" w:cs="Arial"/>
          <w:noProof/>
          <w:lang w:val="es-MX" w:eastAsia="es-MX"/>
        </w:rPr>
        <w:t xml:space="preserve">   </w:t>
      </w:r>
      <w:r w:rsidRPr="00AE12A7">
        <w:rPr>
          <w:rFonts w:ascii="Arial" w:hAnsi="Arial" w:cs="Arial"/>
          <w:noProof/>
          <w:lang w:val="es-MX" w:eastAsia="es-MX"/>
        </w:rPr>
        <w:drawing>
          <wp:inline distT="0" distB="0" distL="0" distR="0" wp14:anchorId="70D186D7" wp14:editId="312EEAF4">
            <wp:extent cx="1085850" cy="833957"/>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lson firma.jpg"/>
                    <pic:cNvPicPr/>
                  </pic:nvPicPr>
                  <pic:blipFill>
                    <a:blip r:embed="rId8">
                      <a:extLst>
                        <a:ext uri="{28A0092B-C50C-407E-A947-70E740481C1C}">
                          <a14:useLocalDpi xmlns:a14="http://schemas.microsoft.com/office/drawing/2010/main" val="0"/>
                        </a:ext>
                      </a:extLst>
                    </a:blip>
                    <a:stretch>
                      <a:fillRect/>
                    </a:stretch>
                  </pic:blipFill>
                  <pic:spPr>
                    <a:xfrm>
                      <a:off x="0" y="0"/>
                      <a:ext cx="1090420" cy="837467"/>
                    </a:xfrm>
                    <a:prstGeom prst="rect">
                      <a:avLst/>
                    </a:prstGeom>
                  </pic:spPr>
                </pic:pic>
              </a:graphicData>
            </a:graphic>
          </wp:inline>
        </w:drawing>
      </w:r>
      <w:r w:rsidRPr="00AE12A7">
        <w:rPr>
          <w:rFonts w:ascii="Arial" w:hAnsi="Arial" w:cs="Arial"/>
          <w:noProof/>
          <w:lang w:val="es-CO" w:eastAsia="es-CO"/>
        </w:rPr>
        <w:t xml:space="preserve">                                 </w:t>
      </w:r>
      <w:r w:rsidRPr="00AE12A7">
        <w:rPr>
          <w:rFonts w:ascii="Arial" w:hAnsi="Arial" w:cs="Arial"/>
          <w:bCs/>
          <w:noProof/>
          <w:color w:val="000000"/>
          <w:lang w:val="es-MX" w:eastAsia="es-MX"/>
        </w:rPr>
        <w:drawing>
          <wp:inline distT="0" distB="0" distL="0" distR="0" wp14:anchorId="6FF86E6D" wp14:editId="28B138FF">
            <wp:extent cx="1959257" cy="637701"/>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s 3.jpg"/>
                    <pic:cNvPicPr/>
                  </pic:nvPicPr>
                  <pic:blipFill>
                    <a:blip r:embed="rId9">
                      <a:extLst>
                        <a:ext uri="{28A0092B-C50C-407E-A947-70E740481C1C}">
                          <a14:useLocalDpi xmlns:a14="http://schemas.microsoft.com/office/drawing/2010/main" val="0"/>
                        </a:ext>
                      </a:extLst>
                    </a:blip>
                    <a:stretch>
                      <a:fillRect/>
                    </a:stretch>
                  </pic:blipFill>
                  <pic:spPr>
                    <a:xfrm>
                      <a:off x="0" y="0"/>
                      <a:ext cx="1972401" cy="641979"/>
                    </a:xfrm>
                    <a:prstGeom prst="rect">
                      <a:avLst/>
                    </a:prstGeom>
                  </pic:spPr>
                </pic:pic>
              </a:graphicData>
            </a:graphic>
          </wp:inline>
        </w:drawing>
      </w:r>
    </w:p>
    <w:p w14:paraId="4F95AF71" w14:textId="77777777" w:rsidR="00471710" w:rsidRPr="00AE12A7" w:rsidRDefault="00471710" w:rsidP="00413EC6">
      <w:pPr>
        <w:jc w:val="both"/>
        <w:rPr>
          <w:rFonts w:ascii="Arial" w:hAnsi="Arial" w:cs="Arial"/>
          <w:b/>
        </w:rPr>
      </w:pPr>
      <w:r w:rsidRPr="00AE12A7">
        <w:rPr>
          <w:rFonts w:ascii="Arial" w:hAnsi="Arial" w:cs="Arial"/>
          <w:b/>
        </w:rPr>
        <w:t xml:space="preserve">WILSON HUGO AYALA PEREZ             GUIOVANNI A. BENAVIDES MARTINEZ </w:t>
      </w:r>
    </w:p>
    <w:p w14:paraId="3C785E96" w14:textId="4E6F3226" w:rsidR="00E16F9A" w:rsidRDefault="00471710" w:rsidP="00413EC6">
      <w:pPr>
        <w:jc w:val="both"/>
        <w:rPr>
          <w:rFonts w:ascii="Arial" w:hAnsi="Arial" w:cs="Arial"/>
        </w:rPr>
      </w:pPr>
      <w:r w:rsidRPr="00AE12A7">
        <w:rPr>
          <w:rFonts w:ascii="Arial" w:hAnsi="Arial" w:cs="Arial"/>
        </w:rPr>
        <w:t xml:space="preserve">Presidente FECOSPEC                          Presidente Nacional UTC  </w:t>
      </w:r>
    </w:p>
    <w:p w14:paraId="1AE3CC93" w14:textId="302BE50A" w:rsidR="00D64EC6" w:rsidRDefault="00D64EC6" w:rsidP="00413EC6">
      <w:pPr>
        <w:jc w:val="both"/>
        <w:rPr>
          <w:rFonts w:ascii="Arial" w:hAnsi="Arial" w:cs="Arial"/>
        </w:rPr>
      </w:pPr>
    </w:p>
    <w:p w14:paraId="1EFE8EF8" w14:textId="26BF8DDF" w:rsidR="00D64EC6" w:rsidRDefault="00D64EC6" w:rsidP="00413EC6">
      <w:pPr>
        <w:jc w:val="both"/>
        <w:rPr>
          <w:rFonts w:ascii="Arial" w:hAnsi="Arial" w:cs="Arial"/>
        </w:rPr>
      </w:pPr>
    </w:p>
    <w:p w14:paraId="51203EB4" w14:textId="77777777" w:rsidR="00D64EC6" w:rsidRDefault="00D64EC6" w:rsidP="00413EC6">
      <w:pPr>
        <w:jc w:val="both"/>
        <w:rPr>
          <w:rFonts w:ascii="Arial" w:hAnsi="Arial" w:cs="Arial"/>
        </w:rPr>
      </w:pPr>
      <w:r>
        <w:rPr>
          <w:rFonts w:ascii="Arial" w:hAnsi="Arial" w:cs="Arial"/>
        </w:rPr>
        <w:t>Con copia:</w:t>
      </w:r>
    </w:p>
    <w:p w14:paraId="6662DB37" w14:textId="77777777" w:rsidR="00D64EC6" w:rsidRDefault="00D64EC6" w:rsidP="00413EC6">
      <w:pPr>
        <w:jc w:val="both"/>
        <w:rPr>
          <w:rFonts w:ascii="Arial" w:hAnsi="Arial" w:cs="Arial"/>
        </w:rPr>
      </w:pPr>
    </w:p>
    <w:p w14:paraId="774A08D5" w14:textId="77777777" w:rsidR="008F79E9" w:rsidRDefault="008F79E9" w:rsidP="00413EC6">
      <w:pPr>
        <w:jc w:val="both"/>
        <w:rPr>
          <w:rFonts w:ascii="Arial" w:hAnsi="Arial" w:cs="Arial"/>
          <w:b/>
          <w:bCs/>
          <w:sz w:val="20"/>
          <w:szCs w:val="20"/>
        </w:rPr>
      </w:pPr>
    </w:p>
    <w:p w14:paraId="26BEDE09" w14:textId="477F3CBD" w:rsidR="00D64EC6" w:rsidRPr="00D64EC6" w:rsidRDefault="00D64EC6" w:rsidP="00413EC6">
      <w:pPr>
        <w:jc w:val="both"/>
        <w:rPr>
          <w:rFonts w:ascii="Arial" w:hAnsi="Arial" w:cs="Arial"/>
          <w:b/>
          <w:bCs/>
          <w:sz w:val="20"/>
          <w:szCs w:val="20"/>
        </w:rPr>
      </w:pPr>
      <w:r w:rsidRPr="00D64EC6">
        <w:rPr>
          <w:rFonts w:ascii="Arial" w:hAnsi="Arial" w:cs="Arial"/>
          <w:b/>
          <w:bCs/>
          <w:sz w:val="20"/>
          <w:szCs w:val="20"/>
        </w:rPr>
        <w:t>Presidencia de la República</w:t>
      </w:r>
    </w:p>
    <w:p w14:paraId="1DB26C52" w14:textId="0358C016" w:rsidR="00D64EC6" w:rsidRPr="00D64EC6" w:rsidRDefault="00D64EC6" w:rsidP="00413EC6">
      <w:pPr>
        <w:jc w:val="both"/>
        <w:rPr>
          <w:rFonts w:ascii="Arial" w:hAnsi="Arial" w:cs="Arial"/>
          <w:b/>
          <w:bCs/>
          <w:sz w:val="20"/>
          <w:szCs w:val="20"/>
        </w:rPr>
      </w:pPr>
      <w:r w:rsidRPr="00D64EC6">
        <w:rPr>
          <w:rFonts w:ascii="Arial" w:hAnsi="Arial" w:cs="Arial"/>
          <w:b/>
          <w:bCs/>
          <w:sz w:val="20"/>
          <w:szCs w:val="20"/>
        </w:rPr>
        <w:t>Procurador General de la Nación</w:t>
      </w:r>
    </w:p>
    <w:p w14:paraId="1E236569" w14:textId="4EF62E55" w:rsidR="00D64EC6" w:rsidRPr="00D64EC6" w:rsidRDefault="00D64EC6" w:rsidP="00413EC6">
      <w:pPr>
        <w:jc w:val="both"/>
        <w:rPr>
          <w:rFonts w:ascii="Arial" w:hAnsi="Arial" w:cs="Arial"/>
          <w:b/>
          <w:bCs/>
          <w:sz w:val="20"/>
          <w:szCs w:val="20"/>
        </w:rPr>
      </w:pPr>
      <w:r w:rsidRPr="00D64EC6">
        <w:rPr>
          <w:rFonts w:ascii="Arial" w:hAnsi="Arial" w:cs="Arial"/>
          <w:b/>
          <w:bCs/>
          <w:sz w:val="20"/>
          <w:szCs w:val="20"/>
        </w:rPr>
        <w:tab/>
      </w:r>
    </w:p>
    <w:sectPr w:rsidR="00D64EC6" w:rsidRPr="00D64EC6" w:rsidSect="0042699E">
      <w:headerReference w:type="default" r:id="rId10"/>
      <w:footerReference w:type="default" r:id="rId11"/>
      <w:pgSz w:w="12240" w:h="15840" w:code="1"/>
      <w:pgMar w:top="1418" w:right="1701" w:bottom="1418" w:left="1701" w:header="567"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6B7E5" w14:textId="77777777" w:rsidR="00C97BEF" w:rsidRDefault="00C97BEF">
      <w:r>
        <w:separator/>
      </w:r>
    </w:p>
  </w:endnote>
  <w:endnote w:type="continuationSeparator" w:id="0">
    <w:p w14:paraId="5EC7D318" w14:textId="77777777" w:rsidR="00C97BEF" w:rsidRDefault="00C9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D153C" w14:textId="77777777" w:rsidR="00EE6584" w:rsidRDefault="00C97BEF" w:rsidP="00BA7EF2">
    <w:pPr>
      <w:pStyle w:val="Piedepgina"/>
      <w:pBdr>
        <w:top w:val="single" w:sz="4" w:space="1" w:color="auto"/>
      </w:pBdr>
      <w:jc w:val="center"/>
      <w:rPr>
        <w:b/>
        <w:sz w:val="20"/>
        <w:szCs w:val="20"/>
      </w:rPr>
    </w:pPr>
  </w:p>
  <w:p w14:paraId="4DD46335" w14:textId="77777777" w:rsidR="00F62E56" w:rsidRPr="00D95C7A" w:rsidRDefault="00F62E56" w:rsidP="00F62E56">
    <w:pPr>
      <w:pStyle w:val="Piedepgina"/>
      <w:pBdr>
        <w:top w:val="single" w:sz="4" w:space="1" w:color="auto"/>
      </w:pBdr>
      <w:jc w:val="center"/>
      <w:rPr>
        <w:b/>
        <w:sz w:val="20"/>
        <w:szCs w:val="20"/>
      </w:rPr>
    </w:pPr>
    <w:r>
      <w:rPr>
        <w:b/>
        <w:sz w:val="20"/>
        <w:szCs w:val="20"/>
      </w:rPr>
      <w:t>C</w:t>
    </w:r>
    <w:r w:rsidRPr="00D95C7A">
      <w:rPr>
        <w:b/>
        <w:sz w:val="20"/>
        <w:szCs w:val="20"/>
      </w:rPr>
      <w:t>ra. 8 No. 11 – 39 Oficina 320 Edificio Garcés Borrero – Bogotá D.C.</w:t>
    </w:r>
  </w:p>
  <w:p w14:paraId="67EEBBDF" w14:textId="77777777" w:rsidR="00F62E56" w:rsidRDefault="00F62E56" w:rsidP="00F62E56">
    <w:pPr>
      <w:pStyle w:val="Piedepgina"/>
      <w:pBdr>
        <w:top w:val="single" w:sz="4" w:space="1" w:color="auto"/>
      </w:pBdr>
      <w:jc w:val="center"/>
      <w:rPr>
        <w:b/>
        <w:sz w:val="20"/>
        <w:szCs w:val="20"/>
      </w:rPr>
    </w:pPr>
    <w:proofErr w:type="gramStart"/>
    <w:r w:rsidRPr="00D95C7A">
      <w:rPr>
        <w:b/>
        <w:sz w:val="20"/>
        <w:szCs w:val="20"/>
      </w:rPr>
      <w:t>Teléfonos</w:t>
    </w:r>
    <w:r>
      <w:rPr>
        <w:b/>
        <w:sz w:val="20"/>
        <w:szCs w:val="20"/>
      </w:rPr>
      <w:t xml:space="preserve"> </w:t>
    </w:r>
    <w:r w:rsidRPr="000E48E0">
      <w:rPr>
        <w:b/>
        <w:sz w:val="20"/>
        <w:szCs w:val="20"/>
      </w:rPr>
      <w:t xml:space="preserve"> </w:t>
    </w:r>
    <w:r>
      <w:rPr>
        <w:b/>
        <w:sz w:val="20"/>
        <w:szCs w:val="20"/>
      </w:rPr>
      <w:t>3</w:t>
    </w:r>
    <w:r w:rsidR="00125501">
      <w:rPr>
        <w:b/>
        <w:sz w:val="20"/>
        <w:szCs w:val="20"/>
      </w:rPr>
      <w:t>138123764</w:t>
    </w:r>
    <w:proofErr w:type="gramEnd"/>
  </w:p>
  <w:p w14:paraId="4CAA4F20" w14:textId="77777777" w:rsidR="00F62E56" w:rsidRDefault="00F62E56" w:rsidP="00F62E56">
    <w:pPr>
      <w:pStyle w:val="Piedepgina"/>
      <w:pBdr>
        <w:top w:val="single" w:sz="4" w:space="1" w:color="auto"/>
      </w:pBdr>
      <w:jc w:val="center"/>
      <w:rPr>
        <w:b/>
        <w:sz w:val="20"/>
        <w:szCs w:val="20"/>
      </w:rPr>
    </w:pPr>
    <w:r>
      <w:rPr>
        <w:b/>
        <w:sz w:val="20"/>
        <w:szCs w:val="20"/>
      </w:rPr>
      <w:t>Página WEB: www.fecospec.org</w:t>
    </w:r>
  </w:p>
  <w:p w14:paraId="3CAA54CB" w14:textId="77777777" w:rsidR="00F62E56" w:rsidRPr="00DE4664" w:rsidRDefault="00F62E56" w:rsidP="00F62E56">
    <w:pPr>
      <w:pStyle w:val="Piedepgina"/>
      <w:pBdr>
        <w:top w:val="single" w:sz="4" w:space="1" w:color="auto"/>
      </w:pBdr>
      <w:tabs>
        <w:tab w:val="left" w:pos="253"/>
        <w:tab w:val="center" w:pos="4703"/>
      </w:tabs>
      <w:jc w:val="center"/>
      <w:rPr>
        <w:b/>
        <w:sz w:val="20"/>
        <w:szCs w:val="20"/>
      </w:rPr>
    </w:pPr>
    <w:r w:rsidRPr="00D95C7A">
      <w:rPr>
        <w:b/>
        <w:sz w:val="20"/>
        <w:szCs w:val="20"/>
      </w:rPr>
      <w:t xml:space="preserve">E </w:t>
    </w:r>
    <w:r>
      <w:rPr>
        <w:b/>
        <w:sz w:val="20"/>
        <w:szCs w:val="20"/>
      </w:rPr>
      <w:t>–</w:t>
    </w:r>
    <w:r w:rsidRPr="00D95C7A">
      <w:rPr>
        <w:b/>
        <w:sz w:val="20"/>
        <w:szCs w:val="20"/>
      </w:rPr>
      <w:t xml:space="preserve"> mail</w:t>
    </w:r>
    <w:r>
      <w:rPr>
        <w:b/>
        <w:sz w:val="20"/>
        <w:szCs w:val="20"/>
      </w:rPr>
      <w:t>:</w:t>
    </w:r>
    <w:r w:rsidRPr="00D95C7A">
      <w:rPr>
        <w:b/>
        <w:sz w:val="20"/>
        <w:szCs w:val="20"/>
      </w:rPr>
      <w:t xml:space="preserve"> </w:t>
    </w:r>
    <w:r w:rsidR="00125501">
      <w:rPr>
        <w:b/>
        <w:sz w:val="20"/>
        <w:szCs w:val="20"/>
      </w:rPr>
      <w:t>presidentefecospec@hotmail.es</w:t>
    </w:r>
  </w:p>
  <w:p w14:paraId="6D83C53D" w14:textId="77777777" w:rsidR="00F62E56" w:rsidRDefault="00F62E56" w:rsidP="00F62E56">
    <w:pPr>
      <w:pStyle w:val="Piedepgina"/>
      <w:jc w:val="center"/>
      <w:rPr>
        <w:b/>
        <w:sz w:val="20"/>
        <w:szCs w:val="20"/>
      </w:rPr>
    </w:pPr>
    <w:r w:rsidRPr="00D95C7A">
      <w:rPr>
        <w:b/>
        <w:sz w:val="20"/>
        <w:szCs w:val="20"/>
      </w:rPr>
      <w:t>“PORQUE EVOLUCIONAMOS, FECOSPEC ADELANTE”</w:t>
    </w:r>
  </w:p>
  <w:p w14:paraId="733298AA" w14:textId="77777777" w:rsidR="00EE6584" w:rsidRDefault="00C97BEF" w:rsidP="00F62E56">
    <w:pPr>
      <w:pStyle w:val="Piedepgina"/>
      <w:pBdr>
        <w:top w:val="single" w:sz="4" w:space="1" w:color="auto"/>
      </w:pBd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0A0C6" w14:textId="77777777" w:rsidR="00C97BEF" w:rsidRDefault="00C97BEF">
      <w:r>
        <w:separator/>
      </w:r>
    </w:p>
  </w:footnote>
  <w:footnote w:type="continuationSeparator" w:id="0">
    <w:p w14:paraId="0F79621B" w14:textId="77777777" w:rsidR="00C97BEF" w:rsidRDefault="00C97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5071"/>
      <w:gridCol w:w="1462"/>
    </w:tblGrid>
    <w:tr w:rsidR="00B35FBB" w14:paraId="7066D630" w14:textId="77777777" w:rsidTr="0065384D">
      <w:tc>
        <w:tcPr>
          <w:tcW w:w="2295" w:type="dxa"/>
        </w:tcPr>
        <w:p w14:paraId="69BF9471" w14:textId="77777777" w:rsidR="00B35FBB" w:rsidRPr="002F6BAC" w:rsidRDefault="0065384D" w:rsidP="00237D7B">
          <w:pPr>
            <w:jc w:val="center"/>
            <w:rPr>
              <w:rFonts w:ascii="Arial" w:hAnsi="Arial" w:cs="Arial"/>
              <w:b/>
            </w:rPr>
          </w:pPr>
          <w:r>
            <w:rPr>
              <w:b/>
              <w:noProof/>
              <w:sz w:val="22"/>
              <w:szCs w:val="22"/>
              <w:lang w:val="es-MX" w:eastAsia="es-MX"/>
            </w:rPr>
            <w:drawing>
              <wp:inline distT="0" distB="0" distL="0" distR="0" wp14:anchorId="1C5950B5" wp14:editId="2979DE10">
                <wp:extent cx="1303031" cy="7747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236" cy="776011"/>
                        </a:xfrm>
                        <a:prstGeom prst="rect">
                          <a:avLst/>
                        </a:prstGeom>
                        <a:noFill/>
                      </pic:spPr>
                    </pic:pic>
                  </a:graphicData>
                </a:graphic>
              </wp:inline>
            </w:drawing>
          </w:r>
        </w:p>
      </w:tc>
      <w:tc>
        <w:tcPr>
          <w:tcW w:w="5071" w:type="dxa"/>
        </w:tcPr>
        <w:p w14:paraId="75AEB460" w14:textId="77777777" w:rsidR="00695962" w:rsidRDefault="00A210A1" w:rsidP="00237D7B">
          <w:pPr>
            <w:jc w:val="center"/>
            <w:rPr>
              <w:rFonts w:ascii="Arial" w:hAnsi="Arial" w:cs="Arial"/>
              <w:b/>
              <w:sz w:val="32"/>
              <w:szCs w:val="32"/>
            </w:rPr>
          </w:pPr>
          <w:r w:rsidRPr="00A210A1">
            <w:rPr>
              <w:rFonts w:ascii="Arial" w:hAnsi="Arial" w:cs="Arial"/>
              <w:b/>
              <w:sz w:val="32"/>
              <w:szCs w:val="32"/>
            </w:rPr>
            <w:t>COMITÉ EJECUTIVO FECOSPEC</w:t>
          </w:r>
        </w:p>
        <w:p w14:paraId="4A4AB458" w14:textId="77777777" w:rsidR="00B35FBB" w:rsidRPr="00A210A1" w:rsidRDefault="00DE4F94" w:rsidP="00A210A1">
          <w:pPr>
            <w:jc w:val="center"/>
            <w:rPr>
              <w:sz w:val="18"/>
              <w:szCs w:val="18"/>
            </w:rPr>
          </w:pPr>
          <w:r w:rsidRPr="00A210A1">
            <w:rPr>
              <w:rFonts w:ascii="Arial" w:hAnsi="Arial" w:cs="Arial"/>
              <w:b/>
              <w:sz w:val="18"/>
              <w:szCs w:val="18"/>
            </w:rPr>
            <w:t>Acta de depósito JDN</w:t>
          </w:r>
          <w:r w:rsidR="00A855B2" w:rsidRPr="00A210A1">
            <w:rPr>
              <w:rFonts w:ascii="Arial" w:hAnsi="Arial" w:cs="Arial"/>
              <w:b/>
              <w:sz w:val="18"/>
              <w:szCs w:val="18"/>
            </w:rPr>
            <w:t xml:space="preserve"> I</w:t>
          </w:r>
          <w:r w:rsidRPr="00A210A1">
            <w:rPr>
              <w:rFonts w:ascii="Arial" w:hAnsi="Arial" w:cs="Arial"/>
              <w:b/>
              <w:sz w:val="18"/>
              <w:szCs w:val="18"/>
            </w:rPr>
            <w:t xml:space="preserve"> </w:t>
          </w:r>
          <w:r w:rsidR="00A210A1" w:rsidRPr="00A210A1">
            <w:rPr>
              <w:rFonts w:ascii="Arial" w:hAnsi="Arial" w:cs="Arial"/>
              <w:b/>
              <w:sz w:val="18"/>
              <w:szCs w:val="18"/>
            </w:rPr>
            <w:t>021</w:t>
          </w:r>
          <w:r w:rsidR="00A855B2" w:rsidRPr="00A210A1">
            <w:rPr>
              <w:rFonts w:ascii="Arial" w:hAnsi="Arial" w:cs="Arial"/>
              <w:b/>
              <w:sz w:val="18"/>
              <w:szCs w:val="18"/>
            </w:rPr>
            <w:t xml:space="preserve"> del </w:t>
          </w:r>
          <w:r w:rsidR="00A210A1" w:rsidRPr="00A210A1">
            <w:rPr>
              <w:rFonts w:ascii="Arial" w:hAnsi="Arial" w:cs="Arial"/>
              <w:b/>
              <w:sz w:val="18"/>
              <w:szCs w:val="18"/>
            </w:rPr>
            <w:t>10</w:t>
          </w:r>
          <w:r w:rsidRPr="00A210A1">
            <w:rPr>
              <w:rFonts w:ascii="Arial" w:hAnsi="Arial" w:cs="Arial"/>
              <w:b/>
              <w:sz w:val="18"/>
              <w:szCs w:val="18"/>
            </w:rPr>
            <w:t xml:space="preserve"> de </w:t>
          </w:r>
          <w:r w:rsidR="00A210A1" w:rsidRPr="00A210A1">
            <w:rPr>
              <w:rFonts w:ascii="Arial" w:hAnsi="Arial" w:cs="Arial"/>
              <w:b/>
              <w:sz w:val="18"/>
              <w:szCs w:val="18"/>
            </w:rPr>
            <w:t>diciembre</w:t>
          </w:r>
          <w:r w:rsidRPr="00A210A1">
            <w:rPr>
              <w:rFonts w:ascii="Arial" w:hAnsi="Arial" w:cs="Arial"/>
              <w:b/>
              <w:sz w:val="18"/>
              <w:szCs w:val="18"/>
            </w:rPr>
            <w:t xml:space="preserve"> de 2</w:t>
          </w:r>
          <w:r w:rsidR="00A210A1" w:rsidRPr="00A210A1">
            <w:rPr>
              <w:rFonts w:ascii="Arial" w:hAnsi="Arial" w:cs="Arial"/>
              <w:b/>
              <w:sz w:val="18"/>
              <w:szCs w:val="18"/>
            </w:rPr>
            <w:t>0</w:t>
          </w:r>
          <w:r w:rsidRPr="00A210A1">
            <w:rPr>
              <w:rFonts w:ascii="Arial" w:hAnsi="Arial" w:cs="Arial"/>
              <w:b/>
              <w:sz w:val="18"/>
              <w:szCs w:val="18"/>
            </w:rPr>
            <w:t>0</w:t>
          </w:r>
          <w:r w:rsidR="00A210A1" w:rsidRPr="00A210A1">
            <w:rPr>
              <w:rFonts w:ascii="Arial" w:hAnsi="Arial" w:cs="Arial"/>
              <w:b/>
              <w:sz w:val="18"/>
              <w:szCs w:val="18"/>
            </w:rPr>
            <w:t>9</w:t>
          </w:r>
        </w:p>
      </w:tc>
      <w:tc>
        <w:tcPr>
          <w:tcW w:w="1462" w:type="dxa"/>
        </w:tcPr>
        <w:p w14:paraId="2EF57C58" w14:textId="77777777" w:rsidR="00A210A1" w:rsidRPr="00695962" w:rsidRDefault="00DE4F94" w:rsidP="00237D7B">
          <w:pPr>
            <w:jc w:val="center"/>
            <w:rPr>
              <w:rFonts w:ascii="Arial" w:hAnsi="Arial" w:cs="Arial"/>
              <w:b/>
              <w:sz w:val="22"/>
              <w:szCs w:val="22"/>
            </w:rPr>
          </w:pPr>
          <w:r w:rsidRPr="00695962">
            <w:rPr>
              <w:rFonts w:ascii="Arial" w:hAnsi="Arial" w:cs="Arial"/>
              <w:b/>
              <w:sz w:val="22"/>
              <w:szCs w:val="22"/>
            </w:rPr>
            <w:t>F</w:t>
          </w:r>
          <w:r w:rsidR="00A210A1" w:rsidRPr="00695962">
            <w:rPr>
              <w:rFonts w:ascii="Arial" w:hAnsi="Arial" w:cs="Arial"/>
              <w:b/>
              <w:sz w:val="22"/>
              <w:szCs w:val="22"/>
            </w:rPr>
            <w:t>ilial</w:t>
          </w:r>
        </w:p>
        <w:p w14:paraId="1AB016C9" w14:textId="77777777" w:rsidR="00B35FBB" w:rsidRPr="00237D7B" w:rsidRDefault="0065384D" w:rsidP="00237D7B">
          <w:pPr>
            <w:jc w:val="center"/>
            <w:rPr>
              <w:sz w:val="22"/>
              <w:szCs w:val="22"/>
            </w:rPr>
          </w:pPr>
          <w:r>
            <w:rPr>
              <w:noProof/>
              <w:sz w:val="22"/>
              <w:szCs w:val="22"/>
              <w:lang w:val="es-MX" w:eastAsia="es-MX"/>
            </w:rPr>
            <w:drawing>
              <wp:inline distT="0" distB="0" distL="0" distR="0" wp14:anchorId="4348C907" wp14:editId="5A54FABE">
                <wp:extent cx="553016" cy="4827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TC.jpg"/>
                        <pic:cNvPicPr/>
                      </pic:nvPicPr>
                      <pic:blipFill>
                        <a:blip r:embed="rId2">
                          <a:extLst>
                            <a:ext uri="{28A0092B-C50C-407E-A947-70E740481C1C}">
                              <a14:useLocalDpi xmlns:a14="http://schemas.microsoft.com/office/drawing/2010/main" val="0"/>
                            </a:ext>
                          </a:extLst>
                        </a:blip>
                        <a:stretch>
                          <a:fillRect/>
                        </a:stretch>
                      </pic:blipFill>
                      <pic:spPr>
                        <a:xfrm>
                          <a:off x="0" y="0"/>
                          <a:ext cx="569072" cy="496723"/>
                        </a:xfrm>
                        <a:prstGeom prst="rect">
                          <a:avLst/>
                        </a:prstGeom>
                      </pic:spPr>
                    </pic:pic>
                  </a:graphicData>
                </a:graphic>
              </wp:inline>
            </w:drawing>
          </w:r>
        </w:p>
      </w:tc>
    </w:tr>
  </w:tbl>
  <w:p w14:paraId="3433DFFB" w14:textId="77777777" w:rsidR="00EE6584" w:rsidRPr="0028161B" w:rsidRDefault="00C97BEF" w:rsidP="006213E2">
    <w:pP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079B5"/>
    <w:multiLevelType w:val="hybridMultilevel"/>
    <w:tmpl w:val="64D6C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7323CD"/>
    <w:multiLevelType w:val="hybridMultilevel"/>
    <w:tmpl w:val="64D6C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A10E83"/>
    <w:multiLevelType w:val="hybridMultilevel"/>
    <w:tmpl w:val="64D6C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353924"/>
    <w:multiLevelType w:val="hybridMultilevel"/>
    <w:tmpl w:val="C4D6BC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361D5B"/>
    <w:multiLevelType w:val="hybridMultilevel"/>
    <w:tmpl w:val="24F2DCBA"/>
    <w:lvl w:ilvl="0" w:tplc="93C4368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4DAB56A6"/>
    <w:multiLevelType w:val="hybridMultilevel"/>
    <w:tmpl w:val="24F2DCBA"/>
    <w:lvl w:ilvl="0" w:tplc="93C4368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FAB6B1F"/>
    <w:multiLevelType w:val="hybridMultilevel"/>
    <w:tmpl w:val="64D6CE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3F610B0"/>
    <w:multiLevelType w:val="hybridMultilevel"/>
    <w:tmpl w:val="A2BA32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9805A8"/>
    <w:multiLevelType w:val="hybridMultilevel"/>
    <w:tmpl w:val="C9EAAA3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A463554"/>
    <w:multiLevelType w:val="hybridMultilevel"/>
    <w:tmpl w:val="F1E8190A"/>
    <w:lvl w:ilvl="0" w:tplc="F9D610F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2"/>
  </w:num>
  <w:num w:numId="5">
    <w:abstractNumId w:val="4"/>
  </w:num>
  <w:num w:numId="6">
    <w:abstractNumId w:val="5"/>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0B"/>
    <w:rsid w:val="0005528B"/>
    <w:rsid w:val="00067DC1"/>
    <w:rsid w:val="000A0141"/>
    <w:rsid w:val="000A52F2"/>
    <w:rsid w:val="00125501"/>
    <w:rsid w:val="001339FD"/>
    <w:rsid w:val="00192E16"/>
    <w:rsid w:val="001A477D"/>
    <w:rsid w:val="00231F66"/>
    <w:rsid w:val="00266E0B"/>
    <w:rsid w:val="0028156F"/>
    <w:rsid w:val="002D1A43"/>
    <w:rsid w:val="002E1E9D"/>
    <w:rsid w:val="002F2F57"/>
    <w:rsid w:val="00335F32"/>
    <w:rsid w:val="003E0499"/>
    <w:rsid w:val="0040382C"/>
    <w:rsid w:val="0041009C"/>
    <w:rsid w:val="004107EB"/>
    <w:rsid w:val="00413EC6"/>
    <w:rsid w:val="004222AA"/>
    <w:rsid w:val="00425691"/>
    <w:rsid w:val="0042699E"/>
    <w:rsid w:val="00436779"/>
    <w:rsid w:val="00456FBE"/>
    <w:rsid w:val="00471710"/>
    <w:rsid w:val="004A0095"/>
    <w:rsid w:val="004A163E"/>
    <w:rsid w:val="004A62D8"/>
    <w:rsid w:val="004B5004"/>
    <w:rsid w:val="004F1A62"/>
    <w:rsid w:val="004F2467"/>
    <w:rsid w:val="00516D9D"/>
    <w:rsid w:val="00520A35"/>
    <w:rsid w:val="005D75EB"/>
    <w:rsid w:val="00614AC4"/>
    <w:rsid w:val="00641D0B"/>
    <w:rsid w:val="0065384D"/>
    <w:rsid w:val="00663F33"/>
    <w:rsid w:val="006805A1"/>
    <w:rsid w:val="006965C3"/>
    <w:rsid w:val="007A28A7"/>
    <w:rsid w:val="007A4B5C"/>
    <w:rsid w:val="00806563"/>
    <w:rsid w:val="00810744"/>
    <w:rsid w:val="0085197E"/>
    <w:rsid w:val="00873974"/>
    <w:rsid w:val="0089030C"/>
    <w:rsid w:val="008F79E9"/>
    <w:rsid w:val="00902F3E"/>
    <w:rsid w:val="00936678"/>
    <w:rsid w:val="00951B62"/>
    <w:rsid w:val="00956703"/>
    <w:rsid w:val="009608BC"/>
    <w:rsid w:val="009B5850"/>
    <w:rsid w:val="009D73A7"/>
    <w:rsid w:val="00A13C16"/>
    <w:rsid w:val="00A210A1"/>
    <w:rsid w:val="00A41D23"/>
    <w:rsid w:val="00A855B2"/>
    <w:rsid w:val="00AC4147"/>
    <w:rsid w:val="00AC6E86"/>
    <w:rsid w:val="00AD5BAD"/>
    <w:rsid w:val="00AE12A7"/>
    <w:rsid w:val="00AF5F0C"/>
    <w:rsid w:val="00B34B9E"/>
    <w:rsid w:val="00B725D6"/>
    <w:rsid w:val="00B7631A"/>
    <w:rsid w:val="00BC285F"/>
    <w:rsid w:val="00C23C10"/>
    <w:rsid w:val="00C5739B"/>
    <w:rsid w:val="00C97BEF"/>
    <w:rsid w:val="00CA40C2"/>
    <w:rsid w:val="00CB010F"/>
    <w:rsid w:val="00CB1FC4"/>
    <w:rsid w:val="00CF1024"/>
    <w:rsid w:val="00D174DA"/>
    <w:rsid w:val="00D573FB"/>
    <w:rsid w:val="00D64EC6"/>
    <w:rsid w:val="00DE4F94"/>
    <w:rsid w:val="00E14A0D"/>
    <w:rsid w:val="00E16F9A"/>
    <w:rsid w:val="00E75550"/>
    <w:rsid w:val="00E845C4"/>
    <w:rsid w:val="00EA2384"/>
    <w:rsid w:val="00EA4484"/>
    <w:rsid w:val="00EB1190"/>
    <w:rsid w:val="00EC295B"/>
    <w:rsid w:val="00EF3C89"/>
    <w:rsid w:val="00F404C9"/>
    <w:rsid w:val="00F62E56"/>
    <w:rsid w:val="00FE66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98268"/>
  <w15:chartTrackingRefBased/>
  <w15:docId w15:val="{14E5EE80-12F3-4CFC-8337-DCFEEEF7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9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A477D"/>
    <w:pPr>
      <w:keepNext/>
      <w:jc w:val="both"/>
      <w:outlineLvl w:val="0"/>
    </w:pPr>
    <w:rPr>
      <w:rFonts w:ascii="Arial" w:hAnsi="Arial"/>
      <w:b/>
      <w:szCs w:val="20"/>
      <w:lang w:val="es-CO"/>
    </w:rPr>
  </w:style>
  <w:style w:type="paragraph" w:styleId="Ttulo2">
    <w:name w:val="heading 2"/>
    <w:basedOn w:val="Normal"/>
    <w:next w:val="Normal"/>
    <w:link w:val="Ttulo2Car"/>
    <w:uiPriority w:val="9"/>
    <w:unhideWhenUsed/>
    <w:qFormat/>
    <w:rsid w:val="001A477D"/>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E4F94"/>
    <w:pPr>
      <w:tabs>
        <w:tab w:val="center" w:pos="4252"/>
        <w:tab w:val="right" w:pos="8504"/>
      </w:tabs>
    </w:pPr>
  </w:style>
  <w:style w:type="character" w:customStyle="1" w:styleId="PiedepginaCar">
    <w:name w:val="Pie de página Car"/>
    <w:basedOn w:val="Fuentedeprrafopredeter"/>
    <w:link w:val="Piedepgina"/>
    <w:uiPriority w:val="99"/>
    <w:rsid w:val="00DE4F94"/>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E4F94"/>
    <w:rPr>
      <w:color w:val="0000FF"/>
      <w:u w:val="single"/>
    </w:rPr>
  </w:style>
  <w:style w:type="paragraph" w:styleId="Prrafodelista">
    <w:name w:val="List Paragraph"/>
    <w:basedOn w:val="Normal"/>
    <w:uiPriority w:val="34"/>
    <w:qFormat/>
    <w:rsid w:val="00DE4F94"/>
    <w:pPr>
      <w:ind w:left="720"/>
      <w:contextualSpacing/>
    </w:pPr>
  </w:style>
  <w:style w:type="paragraph" w:styleId="Sinespaciado">
    <w:name w:val="No Spacing"/>
    <w:uiPriority w:val="1"/>
    <w:qFormat/>
    <w:rsid w:val="00DE4F94"/>
    <w:pPr>
      <w:spacing w:after="0" w:line="240" w:lineRule="auto"/>
    </w:pPr>
    <w:rPr>
      <w:rFonts w:ascii="Calibri" w:eastAsia="Calibri" w:hAnsi="Calibri" w:cs="Times New Roman"/>
    </w:rPr>
  </w:style>
  <w:style w:type="paragraph" w:styleId="Textoindependiente2">
    <w:name w:val="Body Text 2"/>
    <w:basedOn w:val="Normal"/>
    <w:link w:val="Textoindependiente2Car"/>
    <w:rsid w:val="00DE4F94"/>
    <w:pPr>
      <w:jc w:val="both"/>
    </w:pPr>
    <w:rPr>
      <w:b/>
      <w:sz w:val="32"/>
      <w:szCs w:val="20"/>
    </w:rPr>
  </w:style>
  <w:style w:type="character" w:customStyle="1" w:styleId="Textoindependiente2Car">
    <w:name w:val="Texto independiente 2 Car"/>
    <w:basedOn w:val="Fuentedeprrafopredeter"/>
    <w:link w:val="Textoindependiente2"/>
    <w:rsid w:val="00DE4F94"/>
    <w:rPr>
      <w:rFonts w:ascii="Times New Roman" w:eastAsia="Times New Roman" w:hAnsi="Times New Roman" w:cs="Times New Roman"/>
      <w:b/>
      <w:sz w:val="32"/>
      <w:szCs w:val="20"/>
      <w:lang w:val="es-ES" w:eastAsia="es-ES"/>
    </w:rPr>
  </w:style>
  <w:style w:type="paragraph" w:styleId="Encabezado">
    <w:name w:val="header"/>
    <w:basedOn w:val="Normal"/>
    <w:link w:val="EncabezadoCar"/>
    <w:uiPriority w:val="99"/>
    <w:unhideWhenUsed/>
    <w:rsid w:val="0065384D"/>
    <w:pPr>
      <w:tabs>
        <w:tab w:val="center" w:pos="4419"/>
        <w:tab w:val="right" w:pos="8838"/>
      </w:tabs>
    </w:pPr>
  </w:style>
  <w:style w:type="character" w:customStyle="1" w:styleId="EncabezadoCar">
    <w:name w:val="Encabezado Car"/>
    <w:basedOn w:val="Fuentedeprrafopredeter"/>
    <w:link w:val="Encabezado"/>
    <w:uiPriority w:val="99"/>
    <w:rsid w:val="0065384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1A477D"/>
    <w:pPr>
      <w:spacing w:after="120"/>
    </w:pPr>
  </w:style>
  <w:style w:type="character" w:customStyle="1" w:styleId="TextoindependienteCar">
    <w:name w:val="Texto independiente Car"/>
    <w:basedOn w:val="Fuentedeprrafopredeter"/>
    <w:link w:val="Textoindependiente"/>
    <w:uiPriority w:val="99"/>
    <w:semiHidden/>
    <w:rsid w:val="001A477D"/>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1A477D"/>
    <w:rPr>
      <w:rFonts w:ascii="Arial" w:eastAsia="Times New Roman" w:hAnsi="Arial" w:cs="Times New Roman"/>
      <w:b/>
      <w:sz w:val="24"/>
      <w:szCs w:val="20"/>
      <w:lang w:eastAsia="es-ES"/>
    </w:rPr>
  </w:style>
  <w:style w:type="character" w:customStyle="1" w:styleId="Ttulo2Car">
    <w:name w:val="Título 2 Car"/>
    <w:basedOn w:val="Fuentedeprrafopredeter"/>
    <w:link w:val="Ttulo2"/>
    <w:uiPriority w:val="9"/>
    <w:rsid w:val="001A477D"/>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1A4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E12A7"/>
    <w:pPr>
      <w:suppressAutoHyphens/>
      <w:autoSpaceDN w:val="0"/>
      <w:spacing w:after="180"/>
      <w:textAlignment w:val="baseline"/>
    </w:pPr>
  </w:style>
  <w:style w:type="paragraph" w:customStyle="1" w:styleId="contenido">
    <w:name w:val="contenido"/>
    <w:basedOn w:val="Normal"/>
    <w:rsid w:val="00AE12A7"/>
    <w:pPr>
      <w:autoSpaceDN w:val="0"/>
      <w:spacing w:before="100" w:after="100"/>
    </w:pPr>
    <w:rPr>
      <w:lang w:val="es-CO" w:eastAsia="es-CO"/>
    </w:rPr>
  </w:style>
  <w:style w:type="character" w:styleId="Textoennegrita">
    <w:name w:val="Strong"/>
    <w:basedOn w:val="Fuentedeprrafopredeter"/>
    <w:rsid w:val="00AE1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8861">
      <w:bodyDiv w:val="1"/>
      <w:marLeft w:val="0"/>
      <w:marRight w:val="0"/>
      <w:marTop w:val="0"/>
      <w:marBottom w:val="0"/>
      <w:divBdr>
        <w:top w:val="none" w:sz="0" w:space="0" w:color="auto"/>
        <w:left w:val="none" w:sz="0" w:space="0" w:color="auto"/>
        <w:bottom w:val="none" w:sz="0" w:space="0" w:color="auto"/>
        <w:right w:val="none" w:sz="0" w:space="0" w:color="auto"/>
      </w:divBdr>
      <w:divsChild>
        <w:div w:id="762844017">
          <w:marLeft w:val="0"/>
          <w:marRight w:val="0"/>
          <w:marTop w:val="0"/>
          <w:marBottom w:val="0"/>
          <w:divBdr>
            <w:top w:val="none" w:sz="0" w:space="0" w:color="auto"/>
            <w:left w:val="none" w:sz="0" w:space="0" w:color="auto"/>
            <w:bottom w:val="none" w:sz="0" w:space="0" w:color="auto"/>
            <w:right w:val="none" w:sz="0" w:space="0" w:color="auto"/>
          </w:divBdr>
        </w:div>
        <w:div w:id="1663505459">
          <w:marLeft w:val="0"/>
          <w:marRight w:val="0"/>
          <w:marTop w:val="0"/>
          <w:marBottom w:val="0"/>
          <w:divBdr>
            <w:top w:val="none" w:sz="0" w:space="0" w:color="auto"/>
            <w:left w:val="none" w:sz="0" w:space="0" w:color="auto"/>
            <w:bottom w:val="none" w:sz="0" w:space="0" w:color="auto"/>
            <w:right w:val="none" w:sz="0" w:space="0" w:color="auto"/>
          </w:divBdr>
        </w:div>
        <w:div w:id="1727025246">
          <w:marLeft w:val="0"/>
          <w:marRight w:val="0"/>
          <w:marTop w:val="0"/>
          <w:marBottom w:val="0"/>
          <w:divBdr>
            <w:top w:val="none" w:sz="0" w:space="0" w:color="auto"/>
            <w:left w:val="none" w:sz="0" w:space="0" w:color="auto"/>
            <w:bottom w:val="none" w:sz="0" w:space="0" w:color="auto"/>
            <w:right w:val="none" w:sz="0" w:space="0" w:color="auto"/>
          </w:divBdr>
        </w:div>
        <w:div w:id="1219433997">
          <w:marLeft w:val="0"/>
          <w:marRight w:val="0"/>
          <w:marTop w:val="0"/>
          <w:marBottom w:val="0"/>
          <w:divBdr>
            <w:top w:val="none" w:sz="0" w:space="0" w:color="auto"/>
            <w:left w:val="none" w:sz="0" w:space="0" w:color="auto"/>
            <w:bottom w:val="none" w:sz="0" w:space="0" w:color="auto"/>
            <w:right w:val="none" w:sz="0" w:space="0" w:color="auto"/>
          </w:divBdr>
        </w:div>
        <w:div w:id="173032864">
          <w:marLeft w:val="0"/>
          <w:marRight w:val="0"/>
          <w:marTop w:val="0"/>
          <w:marBottom w:val="0"/>
          <w:divBdr>
            <w:top w:val="none" w:sz="0" w:space="0" w:color="auto"/>
            <w:left w:val="none" w:sz="0" w:space="0" w:color="auto"/>
            <w:bottom w:val="none" w:sz="0" w:space="0" w:color="auto"/>
            <w:right w:val="none" w:sz="0" w:space="0" w:color="auto"/>
          </w:divBdr>
        </w:div>
        <w:div w:id="554976689">
          <w:marLeft w:val="0"/>
          <w:marRight w:val="0"/>
          <w:marTop w:val="0"/>
          <w:marBottom w:val="0"/>
          <w:divBdr>
            <w:top w:val="none" w:sz="0" w:space="0" w:color="auto"/>
            <w:left w:val="none" w:sz="0" w:space="0" w:color="auto"/>
            <w:bottom w:val="none" w:sz="0" w:space="0" w:color="auto"/>
            <w:right w:val="none" w:sz="0" w:space="0" w:color="auto"/>
          </w:divBdr>
        </w:div>
        <w:div w:id="812723264">
          <w:marLeft w:val="0"/>
          <w:marRight w:val="0"/>
          <w:marTop w:val="0"/>
          <w:marBottom w:val="0"/>
          <w:divBdr>
            <w:top w:val="none" w:sz="0" w:space="0" w:color="auto"/>
            <w:left w:val="none" w:sz="0" w:space="0" w:color="auto"/>
            <w:bottom w:val="none" w:sz="0" w:space="0" w:color="auto"/>
            <w:right w:val="none" w:sz="0" w:space="0" w:color="auto"/>
          </w:divBdr>
        </w:div>
        <w:div w:id="852954788">
          <w:marLeft w:val="0"/>
          <w:marRight w:val="0"/>
          <w:marTop w:val="0"/>
          <w:marBottom w:val="0"/>
          <w:divBdr>
            <w:top w:val="none" w:sz="0" w:space="0" w:color="auto"/>
            <w:left w:val="none" w:sz="0" w:space="0" w:color="auto"/>
            <w:bottom w:val="none" w:sz="0" w:space="0" w:color="auto"/>
            <w:right w:val="none" w:sz="0" w:space="0" w:color="auto"/>
          </w:divBdr>
        </w:div>
        <w:div w:id="971012863">
          <w:marLeft w:val="0"/>
          <w:marRight w:val="0"/>
          <w:marTop w:val="0"/>
          <w:marBottom w:val="0"/>
          <w:divBdr>
            <w:top w:val="none" w:sz="0" w:space="0" w:color="auto"/>
            <w:left w:val="none" w:sz="0" w:space="0" w:color="auto"/>
            <w:bottom w:val="none" w:sz="0" w:space="0" w:color="auto"/>
            <w:right w:val="none" w:sz="0" w:space="0" w:color="auto"/>
          </w:divBdr>
        </w:div>
        <w:div w:id="841697469">
          <w:marLeft w:val="0"/>
          <w:marRight w:val="0"/>
          <w:marTop w:val="0"/>
          <w:marBottom w:val="0"/>
          <w:divBdr>
            <w:top w:val="none" w:sz="0" w:space="0" w:color="auto"/>
            <w:left w:val="none" w:sz="0" w:space="0" w:color="auto"/>
            <w:bottom w:val="none" w:sz="0" w:space="0" w:color="auto"/>
            <w:right w:val="none" w:sz="0" w:space="0" w:color="auto"/>
          </w:divBdr>
        </w:div>
        <w:div w:id="708989613">
          <w:marLeft w:val="0"/>
          <w:marRight w:val="0"/>
          <w:marTop w:val="0"/>
          <w:marBottom w:val="0"/>
          <w:divBdr>
            <w:top w:val="none" w:sz="0" w:space="0" w:color="auto"/>
            <w:left w:val="none" w:sz="0" w:space="0" w:color="auto"/>
            <w:bottom w:val="none" w:sz="0" w:space="0" w:color="auto"/>
            <w:right w:val="none" w:sz="0" w:space="0" w:color="auto"/>
          </w:divBdr>
        </w:div>
        <w:div w:id="1508135614">
          <w:marLeft w:val="0"/>
          <w:marRight w:val="0"/>
          <w:marTop w:val="0"/>
          <w:marBottom w:val="0"/>
          <w:divBdr>
            <w:top w:val="none" w:sz="0" w:space="0" w:color="auto"/>
            <w:left w:val="none" w:sz="0" w:space="0" w:color="auto"/>
            <w:bottom w:val="none" w:sz="0" w:space="0" w:color="auto"/>
            <w:right w:val="none" w:sz="0" w:space="0" w:color="auto"/>
          </w:divBdr>
        </w:div>
        <w:div w:id="1956711228">
          <w:marLeft w:val="0"/>
          <w:marRight w:val="0"/>
          <w:marTop w:val="0"/>
          <w:marBottom w:val="0"/>
          <w:divBdr>
            <w:top w:val="none" w:sz="0" w:space="0" w:color="auto"/>
            <w:left w:val="none" w:sz="0" w:space="0" w:color="auto"/>
            <w:bottom w:val="none" w:sz="0" w:space="0" w:color="auto"/>
            <w:right w:val="none" w:sz="0" w:space="0" w:color="auto"/>
          </w:divBdr>
        </w:div>
        <w:div w:id="2145345791">
          <w:marLeft w:val="0"/>
          <w:marRight w:val="0"/>
          <w:marTop w:val="0"/>
          <w:marBottom w:val="0"/>
          <w:divBdr>
            <w:top w:val="none" w:sz="0" w:space="0" w:color="auto"/>
            <w:left w:val="none" w:sz="0" w:space="0" w:color="auto"/>
            <w:bottom w:val="none" w:sz="0" w:space="0" w:color="auto"/>
            <w:right w:val="none" w:sz="0" w:space="0" w:color="auto"/>
          </w:divBdr>
        </w:div>
        <w:div w:id="1158960402">
          <w:marLeft w:val="0"/>
          <w:marRight w:val="0"/>
          <w:marTop w:val="0"/>
          <w:marBottom w:val="0"/>
          <w:divBdr>
            <w:top w:val="none" w:sz="0" w:space="0" w:color="auto"/>
            <w:left w:val="none" w:sz="0" w:space="0" w:color="auto"/>
            <w:bottom w:val="none" w:sz="0" w:space="0" w:color="auto"/>
            <w:right w:val="none" w:sz="0" w:space="0" w:color="auto"/>
          </w:divBdr>
        </w:div>
        <w:div w:id="713122344">
          <w:marLeft w:val="0"/>
          <w:marRight w:val="0"/>
          <w:marTop w:val="0"/>
          <w:marBottom w:val="0"/>
          <w:divBdr>
            <w:top w:val="none" w:sz="0" w:space="0" w:color="auto"/>
            <w:left w:val="none" w:sz="0" w:space="0" w:color="auto"/>
            <w:bottom w:val="none" w:sz="0" w:space="0" w:color="auto"/>
            <w:right w:val="none" w:sz="0" w:space="0" w:color="auto"/>
          </w:divBdr>
        </w:div>
        <w:div w:id="1240867183">
          <w:marLeft w:val="0"/>
          <w:marRight w:val="0"/>
          <w:marTop w:val="0"/>
          <w:marBottom w:val="0"/>
          <w:divBdr>
            <w:top w:val="none" w:sz="0" w:space="0" w:color="auto"/>
            <w:left w:val="none" w:sz="0" w:space="0" w:color="auto"/>
            <w:bottom w:val="none" w:sz="0" w:space="0" w:color="auto"/>
            <w:right w:val="none" w:sz="0" w:space="0" w:color="auto"/>
          </w:divBdr>
        </w:div>
        <w:div w:id="506596309">
          <w:marLeft w:val="0"/>
          <w:marRight w:val="0"/>
          <w:marTop w:val="0"/>
          <w:marBottom w:val="0"/>
          <w:divBdr>
            <w:top w:val="none" w:sz="0" w:space="0" w:color="auto"/>
            <w:left w:val="none" w:sz="0" w:space="0" w:color="auto"/>
            <w:bottom w:val="none" w:sz="0" w:space="0" w:color="auto"/>
            <w:right w:val="none" w:sz="0" w:space="0" w:color="auto"/>
          </w:divBdr>
        </w:div>
        <w:div w:id="1997488733">
          <w:marLeft w:val="0"/>
          <w:marRight w:val="0"/>
          <w:marTop w:val="0"/>
          <w:marBottom w:val="0"/>
          <w:divBdr>
            <w:top w:val="none" w:sz="0" w:space="0" w:color="auto"/>
            <w:left w:val="none" w:sz="0" w:space="0" w:color="auto"/>
            <w:bottom w:val="none" w:sz="0" w:space="0" w:color="auto"/>
            <w:right w:val="none" w:sz="0" w:space="0" w:color="auto"/>
          </w:divBdr>
        </w:div>
        <w:div w:id="1926911558">
          <w:marLeft w:val="0"/>
          <w:marRight w:val="0"/>
          <w:marTop w:val="0"/>
          <w:marBottom w:val="0"/>
          <w:divBdr>
            <w:top w:val="none" w:sz="0" w:space="0" w:color="auto"/>
            <w:left w:val="none" w:sz="0" w:space="0" w:color="auto"/>
            <w:bottom w:val="none" w:sz="0" w:space="0" w:color="auto"/>
            <w:right w:val="none" w:sz="0" w:space="0" w:color="auto"/>
          </w:divBdr>
        </w:div>
        <w:div w:id="1376468925">
          <w:marLeft w:val="0"/>
          <w:marRight w:val="0"/>
          <w:marTop w:val="0"/>
          <w:marBottom w:val="0"/>
          <w:divBdr>
            <w:top w:val="none" w:sz="0" w:space="0" w:color="auto"/>
            <w:left w:val="none" w:sz="0" w:space="0" w:color="auto"/>
            <w:bottom w:val="none" w:sz="0" w:space="0" w:color="auto"/>
            <w:right w:val="none" w:sz="0" w:space="0" w:color="auto"/>
          </w:divBdr>
        </w:div>
        <w:div w:id="1336615255">
          <w:marLeft w:val="0"/>
          <w:marRight w:val="0"/>
          <w:marTop w:val="0"/>
          <w:marBottom w:val="0"/>
          <w:divBdr>
            <w:top w:val="none" w:sz="0" w:space="0" w:color="auto"/>
            <w:left w:val="none" w:sz="0" w:space="0" w:color="auto"/>
            <w:bottom w:val="none" w:sz="0" w:space="0" w:color="auto"/>
            <w:right w:val="none" w:sz="0" w:space="0" w:color="auto"/>
          </w:divBdr>
        </w:div>
        <w:div w:id="501311751">
          <w:marLeft w:val="0"/>
          <w:marRight w:val="0"/>
          <w:marTop w:val="0"/>
          <w:marBottom w:val="0"/>
          <w:divBdr>
            <w:top w:val="none" w:sz="0" w:space="0" w:color="auto"/>
            <w:left w:val="none" w:sz="0" w:space="0" w:color="auto"/>
            <w:bottom w:val="none" w:sz="0" w:space="0" w:color="auto"/>
            <w:right w:val="none" w:sz="0" w:space="0" w:color="auto"/>
          </w:divBdr>
        </w:div>
        <w:div w:id="1641959868">
          <w:marLeft w:val="0"/>
          <w:marRight w:val="0"/>
          <w:marTop w:val="0"/>
          <w:marBottom w:val="0"/>
          <w:divBdr>
            <w:top w:val="none" w:sz="0" w:space="0" w:color="auto"/>
            <w:left w:val="none" w:sz="0" w:space="0" w:color="auto"/>
            <w:bottom w:val="none" w:sz="0" w:space="0" w:color="auto"/>
            <w:right w:val="none" w:sz="0" w:space="0" w:color="auto"/>
          </w:divBdr>
        </w:div>
        <w:div w:id="689187757">
          <w:marLeft w:val="0"/>
          <w:marRight w:val="0"/>
          <w:marTop w:val="0"/>
          <w:marBottom w:val="0"/>
          <w:divBdr>
            <w:top w:val="none" w:sz="0" w:space="0" w:color="auto"/>
            <w:left w:val="none" w:sz="0" w:space="0" w:color="auto"/>
            <w:bottom w:val="none" w:sz="0" w:space="0" w:color="auto"/>
            <w:right w:val="none" w:sz="0" w:space="0" w:color="auto"/>
          </w:divBdr>
        </w:div>
        <w:div w:id="725684270">
          <w:marLeft w:val="0"/>
          <w:marRight w:val="0"/>
          <w:marTop w:val="0"/>
          <w:marBottom w:val="0"/>
          <w:divBdr>
            <w:top w:val="none" w:sz="0" w:space="0" w:color="auto"/>
            <w:left w:val="none" w:sz="0" w:space="0" w:color="auto"/>
            <w:bottom w:val="none" w:sz="0" w:space="0" w:color="auto"/>
            <w:right w:val="none" w:sz="0" w:space="0" w:color="auto"/>
          </w:divBdr>
        </w:div>
        <w:div w:id="1193420260">
          <w:marLeft w:val="0"/>
          <w:marRight w:val="0"/>
          <w:marTop w:val="0"/>
          <w:marBottom w:val="0"/>
          <w:divBdr>
            <w:top w:val="none" w:sz="0" w:space="0" w:color="auto"/>
            <w:left w:val="none" w:sz="0" w:space="0" w:color="auto"/>
            <w:bottom w:val="none" w:sz="0" w:space="0" w:color="auto"/>
            <w:right w:val="none" w:sz="0" w:space="0" w:color="auto"/>
          </w:divBdr>
        </w:div>
        <w:div w:id="959259498">
          <w:marLeft w:val="0"/>
          <w:marRight w:val="0"/>
          <w:marTop w:val="0"/>
          <w:marBottom w:val="0"/>
          <w:divBdr>
            <w:top w:val="none" w:sz="0" w:space="0" w:color="auto"/>
            <w:left w:val="none" w:sz="0" w:space="0" w:color="auto"/>
            <w:bottom w:val="none" w:sz="0" w:space="0" w:color="auto"/>
            <w:right w:val="none" w:sz="0" w:space="0" w:color="auto"/>
          </w:divBdr>
        </w:div>
        <w:div w:id="90244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ncionpublica.gov.co/eva/gestornormativo/norma.php?i=458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1654</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GUIOTRADING1</dc:creator>
  <cp:keywords/>
  <dc:description/>
  <cp:lastModifiedBy>Familia Ayala</cp:lastModifiedBy>
  <cp:revision>4</cp:revision>
  <cp:lastPrinted>2020-04-04T19:21:00Z</cp:lastPrinted>
  <dcterms:created xsi:type="dcterms:W3CDTF">2020-05-04T22:14:00Z</dcterms:created>
  <dcterms:modified xsi:type="dcterms:W3CDTF">2020-05-04T22:15:00Z</dcterms:modified>
</cp:coreProperties>
</file>